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AEC5" w14:textId="77777777" w:rsidR="007C5356" w:rsidRDefault="00851171" w:rsidP="00E12C4F">
      <w:pPr>
        <w:tabs>
          <w:tab w:val="left" w:pos="567"/>
          <w:tab w:val="left" w:pos="851"/>
          <w:tab w:val="left" w:pos="1134"/>
        </w:tabs>
        <w:jc w:val="both"/>
      </w:pPr>
      <w:r w:rsidRPr="00851171">
        <w:t>COMENTARIOS A LA CIRCULAR CONJUNTA</w:t>
      </w:r>
      <w:r w:rsidR="007C5356">
        <w:t xml:space="preserve">. </w:t>
      </w:r>
    </w:p>
    <w:p w14:paraId="2DC4DE08" w14:textId="17F9914A" w:rsidR="00E12C4F" w:rsidRDefault="00E12C4F" w:rsidP="00E12C4F">
      <w:pPr>
        <w:tabs>
          <w:tab w:val="left" w:pos="567"/>
          <w:tab w:val="left" w:pos="851"/>
          <w:tab w:val="left" w:pos="1134"/>
        </w:tabs>
        <w:jc w:val="both"/>
        <w:rPr>
          <w:rFonts w:ascii="Lucida Sans Unicode" w:hAnsi="Lucida Sans Unicode" w:cs="Lucida Sans Unicode"/>
          <w:b/>
        </w:rPr>
      </w:pPr>
      <w:r w:rsidRPr="0037161C">
        <w:rPr>
          <w:rFonts w:ascii="Lucida Sans Unicode" w:hAnsi="Lucida Sans Unicode" w:cs="Lucida Sans Unicode"/>
          <w:b/>
        </w:rPr>
        <w:t>REF:</w:t>
      </w:r>
      <w:r w:rsidRPr="0037161C">
        <w:rPr>
          <w:rFonts w:ascii="Lucida Sans Unicode" w:hAnsi="Lucida Sans Unicode" w:cs="Lucida Sans Unicode"/>
          <w:b/>
        </w:rPr>
        <w:tab/>
        <w:t>IMPARTE INSTRUCCIONES DE CARÁCTER GENERAL A LAS SOCIEDADES OPERADORAS DE CASINOS DE JUEGO Y CONCESIONARIAS MUNICIPALES</w:t>
      </w:r>
    </w:p>
    <w:p w14:paraId="6A2FC276" w14:textId="7CF29CEC" w:rsidR="00E12C4F" w:rsidRPr="0045481C" w:rsidRDefault="0095016D" w:rsidP="00E12C4F">
      <w:pPr>
        <w:tabs>
          <w:tab w:val="left" w:pos="567"/>
          <w:tab w:val="left" w:pos="851"/>
          <w:tab w:val="left" w:pos="1134"/>
        </w:tabs>
        <w:jc w:val="both"/>
        <w:rPr>
          <w:rFonts w:ascii="Lucida Sans Unicode" w:hAnsi="Lucida Sans Unicode" w:cs="Lucida Sans Unicode"/>
          <w:b/>
        </w:rPr>
      </w:pPr>
      <w:r w:rsidRPr="0095016D">
        <w:rPr>
          <w:rFonts w:ascii="Lucida Sans Unicode" w:hAnsi="Lucida Sans Unicode" w:cs="Lucida Sans Unicode"/>
          <w:b/>
        </w:rPr>
        <w:t>1. Enfoque basado en riesgos (punto 7)</w:t>
      </w:r>
      <w:r w:rsidR="00FB38AA" w:rsidRPr="00FB38AA">
        <w:rPr>
          <w:rFonts w:ascii="Lucida Sans Unicode" w:hAnsi="Lucida Sans Unicode" w:cs="Lucida Sans Unicode"/>
          <w:bCs/>
        </w:rPr>
        <w:t>:</w:t>
      </w:r>
    </w:p>
    <w:p w14:paraId="6E47789A" w14:textId="651ED073" w:rsidR="00E12C4F" w:rsidRPr="00E12C4F" w:rsidRDefault="00E12C4F" w:rsidP="00E12C4F">
      <w:pPr>
        <w:tabs>
          <w:tab w:val="left" w:pos="567"/>
          <w:tab w:val="left" w:pos="851"/>
          <w:tab w:val="left" w:pos="1134"/>
        </w:tabs>
        <w:jc w:val="both"/>
        <w:rPr>
          <w:rFonts w:ascii="Lucida Sans Unicode" w:hAnsi="Lucida Sans Unicode" w:cs="Lucida Sans Unicode"/>
          <w:bCs/>
        </w:rPr>
      </w:pPr>
      <w:r w:rsidRPr="00E12C4F">
        <w:rPr>
          <w:rFonts w:ascii="Lucida Sans Unicode" w:hAnsi="Lucida Sans Unicode" w:cs="Lucida Sans Unicode"/>
          <w:bCs/>
        </w:rPr>
        <w:t>7.</w:t>
      </w:r>
      <w:r w:rsidRPr="00E12C4F">
        <w:rPr>
          <w:rFonts w:ascii="Lucida Sans Unicode" w:hAnsi="Lucida Sans Unicode" w:cs="Lucida Sans Unicode"/>
          <w:bCs/>
        </w:rPr>
        <w:tab/>
        <w:t>En línea con las recomendaciones internacionales, la presente circular conjunta incluye un enfoque basado en riesgos para la prevención del lavado de activos y del combate al financiamiento del terrorismo y la proliferación de armas de destrucción masiva (LA/FT/FP), el cual deberá ser incorporado en las políticas y procedimientos que implementen las sociedades operadoras y concesionarias municipales de los casinos de juego.</w:t>
      </w:r>
    </w:p>
    <w:p w14:paraId="19171CDD" w14:textId="027B1255" w:rsidR="00E12C4F" w:rsidRDefault="00E12C4F" w:rsidP="00E12C4F">
      <w:pPr>
        <w:tabs>
          <w:tab w:val="left" w:pos="567"/>
          <w:tab w:val="left" w:pos="851"/>
          <w:tab w:val="left" w:pos="1134"/>
        </w:tabs>
        <w:jc w:val="both"/>
        <w:rPr>
          <w:rFonts w:ascii="Lucida Sans Unicode" w:hAnsi="Lucida Sans Unicode" w:cs="Lucida Sans Unicode"/>
          <w:bCs/>
        </w:rPr>
      </w:pPr>
      <w:r w:rsidRPr="00E12C4F">
        <w:rPr>
          <w:rFonts w:ascii="Lucida Sans Unicode" w:hAnsi="Lucida Sans Unicode" w:cs="Lucida Sans Unicode"/>
          <w:b/>
        </w:rPr>
        <w:t>Comentario</w:t>
      </w:r>
      <w:r>
        <w:rPr>
          <w:rFonts w:ascii="Lucida Sans Unicode" w:hAnsi="Lucida Sans Unicode" w:cs="Lucida Sans Unicode"/>
          <w:bCs/>
        </w:rPr>
        <w:t xml:space="preserve">: </w:t>
      </w:r>
      <w:r w:rsidR="00957B37" w:rsidRPr="00957B37">
        <w:rPr>
          <w:rFonts w:ascii="Lucida Sans Unicode" w:hAnsi="Lucida Sans Unicode" w:cs="Lucida Sans Unicode"/>
          <w:bCs/>
        </w:rPr>
        <w:t>La definición de riesgo se expone únicamente desde una perspectiva conceptual, sin una traducción práctica ni operativa. Esta falta de precisión puede derivar en interpretaciones dispares durante los procesos de fiscalización por parte de la autoridad. Se sugiere incorporar ejemplos concretos o criterios mínimos de implementación, que orienten la aplicación uniforme de dicho enfoque por parte de las sociedades operadoras y concesionarias</w:t>
      </w:r>
      <w:r w:rsidRPr="00E12C4F">
        <w:rPr>
          <w:rFonts w:ascii="Lucida Sans Unicode" w:hAnsi="Lucida Sans Unicode" w:cs="Lucida Sans Unicode"/>
          <w:bCs/>
        </w:rPr>
        <w:t>.</w:t>
      </w:r>
    </w:p>
    <w:p w14:paraId="557B26D1" w14:textId="77A6BDEF" w:rsidR="00E12C4F" w:rsidRPr="00CD2052" w:rsidRDefault="00FE32F1" w:rsidP="00E12C4F">
      <w:pPr>
        <w:tabs>
          <w:tab w:val="left" w:pos="567"/>
          <w:tab w:val="left" w:pos="851"/>
          <w:tab w:val="left" w:pos="1134"/>
        </w:tabs>
        <w:jc w:val="both"/>
        <w:rPr>
          <w:rFonts w:ascii="Lucida Sans Unicode" w:hAnsi="Lucida Sans Unicode" w:cs="Lucida Sans Unicode"/>
          <w:b/>
        </w:rPr>
      </w:pPr>
      <w:r w:rsidRPr="006518C8">
        <w:rPr>
          <w:rFonts w:ascii="Lucida Sans Unicode" w:hAnsi="Lucida Sans Unicode" w:cs="Lucida Sans Unicode"/>
          <w:b/>
        </w:rPr>
        <w:t>2. Designación del oficial de cumplimiento (punto b.1)</w:t>
      </w:r>
      <w:r w:rsidR="00FB38AA" w:rsidRPr="006518C8">
        <w:rPr>
          <w:rFonts w:ascii="Lucida Sans Unicode" w:hAnsi="Lucida Sans Unicode" w:cs="Lucida Sans Unicode"/>
          <w:b/>
        </w:rPr>
        <w:t>:</w:t>
      </w:r>
    </w:p>
    <w:p w14:paraId="78019B74" w14:textId="03288762" w:rsidR="00E12C4F" w:rsidRDefault="00E12C4F" w:rsidP="00E12C4F">
      <w:pPr>
        <w:tabs>
          <w:tab w:val="left" w:pos="567"/>
          <w:tab w:val="left" w:pos="851"/>
          <w:tab w:val="left" w:pos="1134"/>
        </w:tabs>
        <w:jc w:val="both"/>
        <w:rPr>
          <w:rFonts w:ascii="Lucida Sans Unicode" w:hAnsi="Lucida Sans Unicode" w:cs="Lucida Sans Unicode"/>
          <w:bCs/>
        </w:rPr>
      </w:pPr>
      <w:r w:rsidRPr="00E12C4F">
        <w:rPr>
          <w:rFonts w:ascii="Lucida Sans Unicode" w:hAnsi="Lucida Sans Unicode" w:cs="Lucida Sans Unicode"/>
          <w:bCs/>
        </w:rPr>
        <w:t>b.1)</w:t>
      </w:r>
      <w:r w:rsidRPr="00E12C4F">
        <w:rPr>
          <w:rFonts w:ascii="Lucida Sans Unicode" w:hAnsi="Lucida Sans Unicode" w:cs="Lucida Sans Unicode"/>
          <w:bCs/>
        </w:rPr>
        <w:tab/>
        <w:t>Todas las sociedades operadoras o concesionarias de un casino de juego deberán designar un oficial de cumplimiento responsable de relacionarse con la UAF y la SCJ. Quien cumpla esta función deberá coordinar e implementar políticas y procedimientos de prevención y detección de actos, operaciones o transacciones relacionadas con el lavado de activos y con el financiamiento del terrorismo y el de la proliferación de armas de destrucción masiva (LA/FT/FP), conforme las características organizacionales propias de su entidad.</w:t>
      </w:r>
    </w:p>
    <w:p w14:paraId="40AAE190" w14:textId="7C6BB8DB" w:rsidR="00E12C4F" w:rsidRDefault="00E12C4F" w:rsidP="00E12C4F">
      <w:pPr>
        <w:tabs>
          <w:tab w:val="left" w:pos="567"/>
          <w:tab w:val="left" w:pos="851"/>
          <w:tab w:val="left" w:pos="1134"/>
        </w:tabs>
        <w:jc w:val="both"/>
        <w:rPr>
          <w:rFonts w:ascii="Lucida Sans Unicode" w:hAnsi="Lucida Sans Unicode" w:cs="Lucida Sans Unicode"/>
          <w:bCs/>
        </w:rPr>
      </w:pPr>
      <w:r w:rsidRPr="00E12C4F">
        <w:rPr>
          <w:rFonts w:ascii="Lucida Sans Unicode" w:hAnsi="Lucida Sans Unicode" w:cs="Lucida Sans Unicode"/>
          <w:b/>
        </w:rPr>
        <w:t>Comentario</w:t>
      </w:r>
      <w:r>
        <w:rPr>
          <w:rFonts w:ascii="Lucida Sans Unicode" w:hAnsi="Lucida Sans Unicode" w:cs="Lucida Sans Unicode"/>
          <w:b/>
        </w:rPr>
        <w:t xml:space="preserve">: </w:t>
      </w:r>
      <w:r w:rsidR="0007562D" w:rsidRPr="0007562D">
        <w:rPr>
          <w:rFonts w:ascii="Lucida Sans Unicode" w:hAnsi="Lucida Sans Unicode" w:cs="Lucida Sans Unicode"/>
          <w:bCs/>
        </w:rPr>
        <w:t xml:space="preserve">Incluir expresamente a la Superintendencia de Casinos de Juego (SCJ) como contraparte directa de dicho funcionario </w:t>
      </w:r>
      <w:r w:rsidR="003179E5">
        <w:rPr>
          <w:rFonts w:ascii="Lucida Sans Unicode" w:hAnsi="Lucida Sans Unicode" w:cs="Lucida Sans Unicode"/>
          <w:bCs/>
        </w:rPr>
        <w:t xml:space="preserve">distorsiona </w:t>
      </w:r>
      <w:r w:rsidR="0007562D" w:rsidRPr="0007562D">
        <w:rPr>
          <w:rFonts w:ascii="Lucida Sans Unicode" w:hAnsi="Lucida Sans Unicode" w:cs="Lucida Sans Unicode"/>
          <w:bCs/>
        </w:rPr>
        <w:t xml:space="preserve">sus </w:t>
      </w:r>
      <w:r w:rsidR="0007562D" w:rsidRPr="0007562D">
        <w:rPr>
          <w:rFonts w:ascii="Lucida Sans Unicode" w:hAnsi="Lucida Sans Unicode" w:cs="Lucida Sans Unicode"/>
          <w:bCs/>
        </w:rPr>
        <w:lastRenderedPageBreak/>
        <w:t>funciones legales y puede generar conflictos en la canalización de información. Se sugiere limitar su vinculación formal a la UAF, remitiendo las solicitudes de la SCJ al área de Cumplimiento Normativo de cada entidad</w:t>
      </w:r>
      <w:r w:rsidRPr="00E12C4F">
        <w:rPr>
          <w:rFonts w:ascii="Lucida Sans Unicode" w:hAnsi="Lucida Sans Unicode" w:cs="Lucida Sans Unicode"/>
          <w:bCs/>
        </w:rPr>
        <w:t>.</w:t>
      </w:r>
    </w:p>
    <w:p w14:paraId="27AFEAB5" w14:textId="61988323" w:rsidR="00E12C4F" w:rsidRPr="00CD2052" w:rsidRDefault="00FE32F1" w:rsidP="00E12C4F">
      <w:pPr>
        <w:tabs>
          <w:tab w:val="left" w:pos="567"/>
          <w:tab w:val="left" w:pos="851"/>
          <w:tab w:val="left" w:pos="1134"/>
        </w:tabs>
        <w:jc w:val="both"/>
        <w:rPr>
          <w:rFonts w:ascii="Lucida Sans Unicode" w:hAnsi="Lucida Sans Unicode" w:cs="Lucida Sans Unicode"/>
          <w:b/>
        </w:rPr>
      </w:pPr>
      <w:r w:rsidRPr="006518C8">
        <w:rPr>
          <w:rFonts w:ascii="Lucida Sans Unicode" w:hAnsi="Lucida Sans Unicode" w:cs="Lucida Sans Unicode"/>
          <w:b/>
        </w:rPr>
        <w:t>3. Inhabilidad para personal de juegos (punto b.3)</w:t>
      </w:r>
      <w:r w:rsidR="00FB38AA" w:rsidRPr="006518C8">
        <w:rPr>
          <w:rFonts w:ascii="Lucida Sans Unicode" w:hAnsi="Lucida Sans Unicode" w:cs="Lucida Sans Unicode"/>
          <w:b/>
        </w:rPr>
        <w:t>:</w:t>
      </w:r>
    </w:p>
    <w:p w14:paraId="13E1CBE0" w14:textId="77777777" w:rsidR="00E12C4F" w:rsidRPr="00E12C4F" w:rsidRDefault="00E12C4F" w:rsidP="00E12C4F">
      <w:pPr>
        <w:tabs>
          <w:tab w:val="left" w:pos="567"/>
          <w:tab w:val="left" w:pos="851"/>
          <w:tab w:val="left" w:pos="1134"/>
        </w:tabs>
        <w:jc w:val="both"/>
        <w:rPr>
          <w:rFonts w:ascii="Lucida Sans Unicode" w:hAnsi="Lucida Sans Unicode" w:cs="Lucida Sans Unicode"/>
          <w:bCs/>
        </w:rPr>
      </w:pPr>
      <w:r w:rsidRPr="00E12C4F">
        <w:rPr>
          <w:rFonts w:ascii="Lucida Sans Unicode" w:hAnsi="Lucida Sans Unicode" w:cs="Lucida Sans Unicode"/>
          <w:bCs/>
        </w:rPr>
        <w:t>b.3)</w:t>
      </w:r>
      <w:r w:rsidRPr="00E12C4F">
        <w:rPr>
          <w:rFonts w:ascii="Lucida Sans Unicode" w:hAnsi="Lucida Sans Unicode" w:cs="Lucida Sans Unicode"/>
          <w:bCs/>
        </w:rPr>
        <w:tab/>
        <w:t>El oficial de cumplimiento deberá:</w:t>
      </w:r>
    </w:p>
    <w:p w14:paraId="79E8539C" w14:textId="695EF909" w:rsidR="00E12C4F" w:rsidRPr="00E12C4F" w:rsidRDefault="00E12C4F" w:rsidP="00E12C4F">
      <w:pPr>
        <w:tabs>
          <w:tab w:val="left" w:pos="567"/>
          <w:tab w:val="left" w:pos="851"/>
          <w:tab w:val="left" w:pos="1134"/>
        </w:tabs>
        <w:jc w:val="both"/>
        <w:rPr>
          <w:rFonts w:ascii="Lucida Sans Unicode" w:hAnsi="Lucida Sans Unicode" w:cs="Lucida Sans Unicode"/>
          <w:bCs/>
        </w:rPr>
      </w:pPr>
      <w:r w:rsidRPr="00E12C4F">
        <w:rPr>
          <w:rFonts w:ascii="Lucida Sans Unicode" w:hAnsi="Lucida Sans Unicode" w:cs="Lucida Sans Unicode"/>
          <w:bCs/>
        </w:rPr>
        <w:t>Corresponder a un funcionario(a) de nivel gerencial en la operadora, asegurando una debida independencia en el ejercicio de su labor. No debe ser personal de jueg</w:t>
      </w:r>
      <w:r w:rsidRPr="00914D30">
        <w:rPr>
          <w:rFonts w:ascii="Lucida Sans Unicode" w:hAnsi="Lucida Sans Unicode" w:cs="Lucida Sans Unicode"/>
          <w:bCs/>
        </w:rPr>
        <w:t>o.</w:t>
      </w:r>
    </w:p>
    <w:p w14:paraId="712E725B" w14:textId="7387D3EB" w:rsidR="000F3DFE" w:rsidRDefault="00E12C4F" w:rsidP="00E12C4F">
      <w:pPr>
        <w:tabs>
          <w:tab w:val="left" w:pos="567"/>
          <w:tab w:val="left" w:pos="851"/>
          <w:tab w:val="left" w:pos="1134"/>
        </w:tabs>
        <w:jc w:val="both"/>
        <w:rPr>
          <w:rFonts w:ascii="Lucida Sans Unicode" w:hAnsi="Lucida Sans Unicode" w:cs="Lucida Sans Unicode"/>
          <w:bCs/>
        </w:rPr>
      </w:pPr>
      <w:r w:rsidRPr="00E12C4F">
        <w:rPr>
          <w:rFonts w:ascii="Lucida Sans Unicode" w:hAnsi="Lucida Sans Unicode" w:cs="Lucida Sans Unicode"/>
          <w:b/>
        </w:rPr>
        <w:t>Comentario</w:t>
      </w:r>
      <w:r>
        <w:rPr>
          <w:rFonts w:ascii="Lucida Sans Unicode" w:hAnsi="Lucida Sans Unicode" w:cs="Lucida Sans Unicode"/>
          <w:b/>
        </w:rPr>
        <w:t xml:space="preserve">: </w:t>
      </w:r>
      <w:r w:rsidR="00695E0C" w:rsidRPr="00695E0C">
        <w:rPr>
          <w:rFonts w:ascii="Lucida Sans Unicode" w:hAnsi="Lucida Sans Unicode" w:cs="Lucida Sans Unicode"/>
          <w:bCs/>
        </w:rPr>
        <w:t>Se recomienda precisar cuáles cargos específicos del área de juegos se consideran incompatibles con el rol de Oficial de Cumplimiento. Adicionalmente, se solicita exceptuar expresamente a los funcionarios del área de Tesorería Operativa, particularmente a los Directores de Tesorería Operativa, ya que sus funciones son de carácter de control interno y no implican relación directa con clientes ni decisiones operativas de juegos. Su experiencia y conocimiento técnico de la operación los convierten en perfiles idóneos para funciones de análisis de comportamiento de clientes, sin comprometer su independencia frente a la gerencia</w:t>
      </w:r>
      <w:r w:rsidRPr="00914D30">
        <w:rPr>
          <w:rFonts w:ascii="Lucida Sans Unicode" w:hAnsi="Lucida Sans Unicode" w:cs="Lucida Sans Unicode"/>
          <w:bCs/>
        </w:rPr>
        <w:t>.</w:t>
      </w:r>
    </w:p>
    <w:p w14:paraId="1CBD1EEB" w14:textId="3CD9E0E6" w:rsidR="000F3DFE" w:rsidRPr="006518C8" w:rsidRDefault="00C44284" w:rsidP="00E12C4F">
      <w:pPr>
        <w:tabs>
          <w:tab w:val="left" w:pos="567"/>
          <w:tab w:val="left" w:pos="851"/>
          <w:tab w:val="left" w:pos="1134"/>
        </w:tabs>
        <w:jc w:val="both"/>
        <w:rPr>
          <w:rFonts w:ascii="Lucida Sans Unicode" w:hAnsi="Lucida Sans Unicode" w:cs="Lucida Sans Unicode"/>
          <w:b/>
        </w:rPr>
      </w:pPr>
      <w:r w:rsidRPr="006518C8">
        <w:rPr>
          <w:rFonts w:ascii="Lucida Sans Unicode" w:hAnsi="Lucida Sans Unicode" w:cs="Lucida Sans Unicode"/>
          <w:b/>
        </w:rPr>
        <w:t>4. Compatibilidad con instancia de cumplimiento normativo (punto b.5)</w:t>
      </w:r>
      <w:r w:rsidR="000F3DFE" w:rsidRPr="006518C8">
        <w:rPr>
          <w:rFonts w:ascii="Lucida Sans Unicode" w:hAnsi="Lucida Sans Unicode" w:cs="Lucida Sans Unicode"/>
          <w:b/>
        </w:rPr>
        <w:t>:</w:t>
      </w:r>
    </w:p>
    <w:p w14:paraId="1E57DDA9" w14:textId="77777777" w:rsidR="000F3DFE" w:rsidRPr="0037161C" w:rsidRDefault="000F3DFE" w:rsidP="000F3DFE">
      <w:pPr>
        <w:tabs>
          <w:tab w:val="left" w:pos="567"/>
          <w:tab w:val="left" w:pos="851"/>
        </w:tabs>
        <w:jc w:val="both"/>
        <w:rPr>
          <w:rFonts w:ascii="Lucida Sans Unicode" w:hAnsi="Lucida Sans Unicode" w:cs="Lucida Sans Unicode"/>
        </w:rPr>
      </w:pPr>
      <w:r w:rsidRPr="0037161C">
        <w:rPr>
          <w:rFonts w:ascii="Lucida Sans Unicode" w:hAnsi="Lucida Sans Unicode" w:cs="Lucida Sans Unicode"/>
        </w:rPr>
        <w:t>b.</w:t>
      </w:r>
      <w:r>
        <w:rPr>
          <w:rFonts w:ascii="Lucida Sans Unicode" w:hAnsi="Lucida Sans Unicode" w:cs="Lucida Sans Unicode"/>
        </w:rPr>
        <w:t>5</w:t>
      </w:r>
      <w:r w:rsidRPr="0037161C">
        <w:rPr>
          <w:rFonts w:ascii="Lucida Sans Unicode" w:hAnsi="Lucida Sans Unicode" w:cs="Lucida Sans Unicode"/>
        </w:rPr>
        <w:t>) El cargo de oficial de cumplimiento será compatible con la Instancia de Cumplimiento Normativo requerido por</w:t>
      </w:r>
      <w:r>
        <w:rPr>
          <w:rFonts w:ascii="Lucida Sans Unicode" w:hAnsi="Lucida Sans Unicode" w:cs="Lucida Sans Unicode"/>
        </w:rPr>
        <w:t xml:space="preserve"> </w:t>
      </w:r>
      <w:r w:rsidRPr="0037161C">
        <w:rPr>
          <w:rFonts w:ascii="Lucida Sans Unicode" w:hAnsi="Lucida Sans Unicode" w:cs="Lucida Sans Unicode"/>
        </w:rPr>
        <w:t>la Superintendencia de Casinos de Juegos, salvo que ésta última se encuentre externalizada</w:t>
      </w:r>
      <w:r>
        <w:rPr>
          <w:rFonts w:ascii="Lucida Sans Unicode" w:hAnsi="Lucida Sans Unicode" w:cs="Lucida Sans Unicode"/>
        </w:rPr>
        <w:t>.</w:t>
      </w:r>
    </w:p>
    <w:p w14:paraId="223ABD93" w14:textId="3A050273" w:rsidR="00E12C4F" w:rsidRPr="000F3DFE" w:rsidRDefault="00E12C4F" w:rsidP="00E12C4F">
      <w:pPr>
        <w:tabs>
          <w:tab w:val="left" w:pos="567"/>
          <w:tab w:val="left" w:pos="851"/>
          <w:tab w:val="left" w:pos="1134"/>
        </w:tabs>
        <w:jc w:val="both"/>
        <w:rPr>
          <w:rFonts w:ascii="Lucida Sans Unicode" w:hAnsi="Lucida Sans Unicode" w:cs="Lucida Sans Unicode"/>
          <w:bCs/>
        </w:rPr>
      </w:pPr>
      <w:r w:rsidRPr="00914D30">
        <w:rPr>
          <w:rFonts w:ascii="Lucida Sans Unicode" w:hAnsi="Lucida Sans Unicode" w:cs="Lucida Sans Unicode"/>
          <w:bCs/>
        </w:rPr>
        <w:t xml:space="preserve"> </w:t>
      </w:r>
      <w:r w:rsidR="000F3DFE" w:rsidRPr="000F3DFE">
        <w:rPr>
          <w:rFonts w:ascii="Lucida Sans Unicode" w:hAnsi="Lucida Sans Unicode" w:cs="Lucida Sans Unicode"/>
          <w:b/>
        </w:rPr>
        <w:t>Comentario</w:t>
      </w:r>
      <w:r w:rsidR="000F3DFE">
        <w:rPr>
          <w:rFonts w:ascii="Lucida Sans Unicode" w:hAnsi="Lucida Sans Unicode" w:cs="Lucida Sans Unicode"/>
          <w:b/>
        </w:rPr>
        <w:t xml:space="preserve">: </w:t>
      </w:r>
      <w:r w:rsidR="00C44284" w:rsidRPr="00C44284">
        <w:rPr>
          <w:rFonts w:ascii="Lucida Sans Unicode" w:hAnsi="Lucida Sans Unicode" w:cs="Lucida Sans Unicode"/>
          <w:bCs/>
        </w:rPr>
        <w:t xml:space="preserve">La compatibilidad entre el cargo de Oficial de Cumplimiento y la Instancia de Cumplimiento Normativo puede generar un conflicto funcional que debilita los principios de independencia y segregación de funciones exigidos para una fiscalización eficaz. Ser “juez y parte” en la implementación y verificación de cumplimiento atenta contra los estándares </w:t>
      </w:r>
      <w:r w:rsidR="00C44284" w:rsidRPr="00C44284">
        <w:rPr>
          <w:rFonts w:ascii="Lucida Sans Unicode" w:hAnsi="Lucida Sans Unicode" w:cs="Lucida Sans Unicode"/>
          <w:bCs/>
        </w:rPr>
        <w:lastRenderedPageBreak/>
        <w:t>recomendados por organismos internacionales. Se sugiere revisar esta disposición o establecer salvaguardas para preservar dicha independenci</w:t>
      </w:r>
      <w:r w:rsidR="00C44284" w:rsidRPr="006518C8">
        <w:rPr>
          <w:rFonts w:ascii="Lucida Sans Unicode" w:hAnsi="Lucida Sans Unicode" w:cs="Lucida Sans Unicode"/>
          <w:bCs/>
        </w:rPr>
        <w:t>a</w:t>
      </w:r>
      <w:r w:rsidR="00740F8F" w:rsidRPr="006518C8">
        <w:rPr>
          <w:rFonts w:ascii="Lucida Sans Unicode" w:hAnsi="Lucida Sans Unicode" w:cs="Lucida Sans Unicode"/>
          <w:bCs/>
        </w:rPr>
        <w:t>.</w:t>
      </w:r>
    </w:p>
    <w:p w14:paraId="624E0DD6" w14:textId="26E9DC7E" w:rsidR="00E12C4F" w:rsidRDefault="006164F5" w:rsidP="00E12C4F">
      <w:pPr>
        <w:tabs>
          <w:tab w:val="left" w:pos="567"/>
          <w:tab w:val="left" w:pos="851"/>
          <w:tab w:val="left" w:pos="1134"/>
        </w:tabs>
        <w:jc w:val="both"/>
        <w:rPr>
          <w:rFonts w:ascii="Lucida Sans Unicode" w:hAnsi="Lucida Sans Unicode" w:cs="Lucida Sans Unicode"/>
          <w:bCs/>
        </w:rPr>
      </w:pPr>
      <w:r w:rsidRPr="006164F5">
        <w:rPr>
          <w:rFonts w:ascii="Lucida Sans Unicode" w:hAnsi="Lucida Sans Unicode" w:cs="Lucida Sans Unicode"/>
          <w:b/>
        </w:rPr>
        <w:t>5. Revisión de listas ONU (punto c.9)</w:t>
      </w:r>
      <w:r w:rsidRPr="006164F5" w:rsidDel="006164F5">
        <w:rPr>
          <w:rFonts w:ascii="Lucida Sans Unicode" w:hAnsi="Lucida Sans Unicode" w:cs="Lucida Sans Unicode"/>
          <w:b/>
        </w:rPr>
        <w:t xml:space="preserve"> </w:t>
      </w:r>
      <w:r w:rsidR="00E12C4F" w:rsidRPr="00E12C4F">
        <w:rPr>
          <w:rFonts w:ascii="Lucida Sans Unicode" w:hAnsi="Lucida Sans Unicode" w:cs="Lucida Sans Unicode"/>
          <w:bCs/>
        </w:rPr>
        <w:t>c.9)</w:t>
      </w:r>
      <w:r w:rsidR="00E12C4F" w:rsidRPr="00E12C4F">
        <w:rPr>
          <w:rFonts w:ascii="Lucida Sans Unicode" w:hAnsi="Lucida Sans Unicode" w:cs="Lucida Sans Unicode"/>
          <w:bCs/>
        </w:rPr>
        <w:tab/>
        <w:t>Las sociedades operadoras deberán revisar de manera periódica y sistemática a todos sus clientes, o potenciales clientes, en las Listas de Resoluciones del Consejo de Seguridad de Naciones Unidas que se indican a continuación sobre FT y FP, y deberán conservar respaldo de dichas búsquedas o revisiones, por un plazo mínimo de tres años.</w:t>
      </w:r>
    </w:p>
    <w:p w14:paraId="107D2BE6" w14:textId="7807ED0E" w:rsidR="00E12C4F" w:rsidRDefault="00E12C4F" w:rsidP="00E12C4F">
      <w:pPr>
        <w:tabs>
          <w:tab w:val="left" w:pos="567"/>
          <w:tab w:val="left" w:pos="851"/>
          <w:tab w:val="left" w:pos="1134"/>
        </w:tabs>
        <w:jc w:val="both"/>
        <w:rPr>
          <w:rFonts w:ascii="Lucida Sans Unicode" w:hAnsi="Lucida Sans Unicode" w:cs="Lucida Sans Unicode"/>
          <w:bCs/>
        </w:rPr>
      </w:pPr>
      <w:r w:rsidRPr="006518C8">
        <w:rPr>
          <w:rFonts w:ascii="Lucida Sans Unicode" w:hAnsi="Lucida Sans Unicode" w:cs="Lucida Sans Unicode"/>
          <w:b/>
        </w:rPr>
        <w:t>Comentario:</w:t>
      </w:r>
      <w:r w:rsidR="006518C8">
        <w:rPr>
          <w:rFonts w:ascii="Lucida Sans Unicode" w:hAnsi="Lucida Sans Unicode" w:cs="Lucida Sans Unicode"/>
          <w:b/>
        </w:rPr>
        <w:t xml:space="preserve"> </w:t>
      </w:r>
      <w:r w:rsidR="000C0EB4" w:rsidRPr="000C0EB4">
        <w:rPr>
          <w:rFonts w:ascii="Lucida Sans Unicode" w:hAnsi="Lucida Sans Unicode" w:cs="Lucida Sans Unicode"/>
          <w:bCs/>
        </w:rPr>
        <w:t>Se propone eliminar la exigencia de revisión respecto de “potenciales clientes”, ya que la relación efectiva con el cliente se establece al momento de ingresar al casino</w:t>
      </w:r>
      <w:r w:rsidR="007C5356">
        <w:rPr>
          <w:rFonts w:ascii="Lucida Sans Unicode" w:hAnsi="Lucida Sans Unicode" w:cs="Lucida Sans Unicode"/>
          <w:bCs/>
        </w:rPr>
        <w:t xml:space="preserve">, a menos que la definición de </w:t>
      </w:r>
      <w:r w:rsidR="007C5356" w:rsidRPr="000C0EB4">
        <w:rPr>
          <w:rFonts w:ascii="Lucida Sans Unicode" w:hAnsi="Lucida Sans Unicode" w:cs="Lucida Sans Unicode"/>
          <w:bCs/>
        </w:rPr>
        <w:t>“potenciales clientes”</w:t>
      </w:r>
      <w:r w:rsidR="007C5356">
        <w:rPr>
          <w:rFonts w:ascii="Lucida Sans Unicode" w:hAnsi="Lucida Sans Unicode" w:cs="Lucida Sans Unicode"/>
          <w:bCs/>
        </w:rPr>
        <w:t xml:space="preserve"> difiera de cliente que ingresan al casino, para lo cual se solicita establecer la definición de </w:t>
      </w:r>
      <w:r w:rsidR="007C5356" w:rsidRPr="000C0EB4">
        <w:rPr>
          <w:rFonts w:ascii="Lucida Sans Unicode" w:hAnsi="Lucida Sans Unicode" w:cs="Lucida Sans Unicode"/>
          <w:bCs/>
        </w:rPr>
        <w:t>“potenciales clientes”</w:t>
      </w:r>
      <w:r w:rsidR="007C5356">
        <w:rPr>
          <w:rFonts w:ascii="Lucida Sans Unicode" w:hAnsi="Lucida Sans Unicode" w:cs="Lucida Sans Unicode"/>
          <w:bCs/>
        </w:rPr>
        <w:t xml:space="preserve"> para un casino</w:t>
      </w:r>
      <w:r w:rsidR="000C0EB4" w:rsidRPr="000C0EB4">
        <w:rPr>
          <w:rFonts w:ascii="Lucida Sans Unicode" w:hAnsi="Lucida Sans Unicode" w:cs="Lucida Sans Unicode"/>
          <w:bCs/>
        </w:rPr>
        <w:t>. Además, se detectaría si corresponde a una persona incluida en listas restrictivas en dicho momento. Por otro lado, existe una inconsistencia en el plazo de conservación de estos registros (3 años), mientras que en otras secciones de la circular se exige mantener registros por 5 años. Se recomienda unificar los plazos</w:t>
      </w:r>
      <w:r w:rsidR="002E2F1E">
        <w:rPr>
          <w:rFonts w:ascii="Lucida Sans Unicode" w:hAnsi="Lucida Sans Unicode" w:cs="Lucida Sans Unicode"/>
          <w:bCs/>
        </w:rPr>
        <w:t xml:space="preserve">. </w:t>
      </w:r>
    </w:p>
    <w:p w14:paraId="7AC3F72D" w14:textId="3C8B2B28" w:rsidR="00914D30" w:rsidRPr="00914D30" w:rsidRDefault="00266543" w:rsidP="00914D30">
      <w:pPr>
        <w:tabs>
          <w:tab w:val="left" w:pos="567"/>
          <w:tab w:val="left" w:pos="851"/>
          <w:tab w:val="left" w:pos="1134"/>
        </w:tabs>
        <w:jc w:val="both"/>
        <w:rPr>
          <w:rFonts w:ascii="Lucida Sans Unicode" w:hAnsi="Lucida Sans Unicode" w:cs="Lucida Sans Unicode"/>
          <w:bCs/>
        </w:rPr>
      </w:pPr>
      <w:r>
        <w:rPr>
          <w:rFonts w:ascii="Lucida Sans Unicode" w:hAnsi="Lucida Sans Unicode" w:cs="Lucida Sans Unicode"/>
          <w:b/>
        </w:rPr>
        <w:t>6</w:t>
      </w:r>
      <w:r w:rsidR="00222B58" w:rsidRPr="006518C8">
        <w:rPr>
          <w:rFonts w:ascii="Lucida Sans Unicode" w:hAnsi="Lucida Sans Unicode" w:cs="Lucida Sans Unicode"/>
          <w:b/>
        </w:rPr>
        <w:t>. Ficha de cliente – exigencias excesivas (puntos f.2 y f.3)</w:t>
      </w:r>
      <w:r w:rsidR="00222B58" w:rsidRPr="006518C8" w:rsidDel="00222B58">
        <w:rPr>
          <w:rFonts w:ascii="Lucida Sans Unicode" w:hAnsi="Lucida Sans Unicode" w:cs="Lucida Sans Unicode"/>
          <w:b/>
        </w:rPr>
        <w:t xml:space="preserve"> </w:t>
      </w:r>
      <w:r w:rsidR="00914D30" w:rsidRPr="00914D30">
        <w:rPr>
          <w:rFonts w:ascii="Lucida Sans Unicode" w:hAnsi="Lucida Sans Unicode" w:cs="Lucida Sans Unicode"/>
          <w:bCs/>
        </w:rPr>
        <w:t>f.2)</w:t>
      </w:r>
      <w:r w:rsidR="00914D30" w:rsidRPr="00914D30">
        <w:rPr>
          <w:rFonts w:ascii="Lucida Sans Unicode" w:hAnsi="Lucida Sans Unicode" w:cs="Lucida Sans Unicode"/>
          <w:bCs/>
        </w:rPr>
        <w:tab/>
        <w:t xml:space="preserve">La información obtenida en la DDC deberá incorporarse en una ficha de cliente, la que deberá ser actualizada al menos anualmente o cuando existan cambios relevantes. Los antecedentes y documentos de respaldo obtenidos en el proceso de la DDC deberán mantenerse en el registro respectivo referido en el punto e.1).  </w:t>
      </w:r>
    </w:p>
    <w:p w14:paraId="362D90D6" w14:textId="5623B9DF" w:rsidR="00914D30" w:rsidRPr="00914D30" w:rsidRDefault="00914D30" w:rsidP="00914D30">
      <w:pPr>
        <w:tabs>
          <w:tab w:val="left" w:pos="567"/>
          <w:tab w:val="left" w:pos="851"/>
          <w:tab w:val="left" w:pos="1134"/>
        </w:tabs>
        <w:jc w:val="both"/>
        <w:rPr>
          <w:rFonts w:ascii="Lucida Sans Unicode" w:hAnsi="Lucida Sans Unicode" w:cs="Lucida Sans Unicode"/>
          <w:bCs/>
        </w:rPr>
      </w:pPr>
      <w:r w:rsidRPr="00914D30">
        <w:rPr>
          <w:rFonts w:ascii="Lucida Sans Unicode" w:hAnsi="Lucida Sans Unicode" w:cs="Lucida Sans Unicode"/>
          <w:bCs/>
        </w:rPr>
        <w:t>f.3)</w:t>
      </w:r>
      <w:r w:rsidRPr="00914D30">
        <w:rPr>
          <w:rFonts w:ascii="Lucida Sans Unicode" w:hAnsi="Lucida Sans Unicode" w:cs="Lucida Sans Unicode"/>
          <w:bCs/>
        </w:rPr>
        <w:tab/>
        <w:t xml:space="preserve"> Todas las sociedades operadoras deberán solicitar a sus clientes al menos la siguiente información y documentación de respaldo, que se incorporará a la ficha de cliente antes referida: </w:t>
      </w:r>
    </w:p>
    <w:p w14:paraId="0D1A4001" w14:textId="77777777" w:rsidR="00914D30" w:rsidRPr="00914D30" w:rsidRDefault="00914D30" w:rsidP="008D26EF">
      <w:pPr>
        <w:tabs>
          <w:tab w:val="left" w:pos="567"/>
          <w:tab w:val="left" w:pos="851"/>
          <w:tab w:val="left" w:pos="1134"/>
        </w:tabs>
        <w:ind w:left="567"/>
        <w:jc w:val="both"/>
        <w:rPr>
          <w:rFonts w:ascii="Lucida Sans Unicode" w:hAnsi="Lucida Sans Unicode" w:cs="Lucida Sans Unicode"/>
          <w:bCs/>
        </w:rPr>
      </w:pPr>
      <w:r w:rsidRPr="00914D30">
        <w:rPr>
          <w:rFonts w:ascii="Lucida Sans Unicode" w:hAnsi="Lucida Sans Unicode" w:cs="Lucida Sans Unicode"/>
          <w:bCs/>
        </w:rPr>
        <w:t>1.</w:t>
      </w:r>
      <w:r w:rsidRPr="00914D30">
        <w:rPr>
          <w:rFonts w:ascii="Lucida Sans Unicode" w:hAnsi="Lucida Sans Unicode" w:cs="Lucida Sans Unicode"/>
          <w:bCs/>
        </w:rPr>
        <w:tab/>
        <w:t xml:space="preserve">Nombre. </w:t>
      </w:r>
      <w:r w:rsidRPr="00914D30">
        <w:rPr>
          <w:rFonts w:ascii="Lucida Sans Unicode" w:hAnsi="Lucida Sans Unicode" w:cs="Lucida Sans Unicode"/>
          <w:bCs/>
        </w:rPr>
        <w:tab/>
      </w:r>
    </w:p>
    <w:p w14:paraId="43162D2C" w14:textId="77777777" w:rsidR="00914D30" w:rsidRPr="00914D30" w:rsidRDefault="00914D30" w:rsidP="008D26EF">
      <w:pPr>
        <w:tabs>
          <w:tab w:val="left" w:pos="567"/>
          <w:tab w:val="left" w:pos="851"/>
          <w:tab w:val="left" w:pos="1134"/>
        </w:tabs>
        <w:ind w:left="567"/>
        <w:jc w:val="both"/>
        <w:rPr>
          <w:rFonts w:ascii="Lucida Sans Unicode" w:hAnsi="Lucida Sans Unicode" w:cs="Lucida Sans Unicode"/>
          <w:bCs/>
        </w:rPr>
      </w:pPr>
      <w:r w:rsidRPr="00914D30">
        <w:rPr>
          <w:rFonts w:ascii="Lucida Sans Unicode" w:hAnsi="Lucida Sans Unicode" w:cs="Lucida Sans Unicode"/>
          <w:bCs/>
        </w:rPr>
        <w:lastRenderedPageBreak/>
        <w:t>2.</w:t>
      </w:r>
      <w:r w:rsidRPr="00914D30">
        <w:rPr>
          <w:rFonts w:ascii="Lucida Sans Unicode" w:hAnsi="Lucida Sans Unicode" w:cs="Lucida Sans Unicode"/>
          <w:bCs/>
        </w:rPr>
        <w:tab/>
        <w:t xml:space="preserve">Documento de identidad o pasaporte. </w:t>
      </w:r>
    </w:p>
    <w:p w14:paraId="44CFBD69" w14:textId="77777777" w:rsidR="00914D30" w:rsidRPr="00914D30" w:rsidRDefault="00914D30" w:rsidP="008D26EF">
      <w:pPr>
        <w:tabs>
          <w:tab w:val="left" w:pos="567"/>
          <w:tab w:val="left" w:pos="851"/>
          <w:tab w:val="left" w:pos="1134"/>
        </w:tabs>
        <w:ind w:left="567"/>
        <w:jc w:val="both"/>
        <w:rPr>
          <w:rFonts w:ascii="Lucida Sans Unicode" w:hAnsi="Lucida Sans Unicode" w:cs="Lucida Sans Unicode"/>
          <w:bCs/>
        </w:rPr>
      </w:pPr>
      <w:r w:rsidRPr="00914D30">
        <w:rPr>
          <w:rFonts w:ascii="Lucida Sans Unicode" w:hAnsi="Lucida Sans Unicode" w:cs="Lucida Sans Unicode"/>
          <w:bCs/>
        </w:rPr>
        <w:t>3.</w:t>
      </w:r>
      <w:r w:rsidRPr="00914D30">
        <w:rPr>
          <w:rFonts w:ascii="Lucida Sans Unicode" w:hAnsi="Lucida Sans Unicode" w:cs="Lucida Sans Unicode"/>
          <w:bCs/>
        </w:rPr>
        <w:tab/>
        <w:t>Nacionalidad, profesión, ocupación u oficio.</w:t>
      </w:r>
    </w:p>
    <w:p w14:paraId="70A24979" w14:textId="77777777" w:rsidR="00914D30" w:rsidRPr="00914D30" w:rsidRDefault="00914D30" w:rsidP="008D26EF">
      <w:pPr>
        <w:tabs>
          <w:tab w:val="left" w:pos="567"/>
          <w:tab w:val="left" w:pos="851"/>
          <w:tab w:val="left" w:pos="1134"/>
        </w:tabs>
        <w:ind w:left="567"/>
        <w:jc w:val="both"/>
        <w:rPr>
          <w:rFonts w:ascii="Lucida Sans Unicode" w:hAnsi="Lucida Sans Unicode" w:cs="Lucida Sans Unicode"/>
          <w:bCs/>
        </w:rPr>
      </w:pPr>
      <w:r w:rsidRPr="00914D30">
        <w:rPr>
          <w:rFonts w:ascii="Lucida Sans Unicode" w:hAnsi="Lucida Sans Unicode" w:cs="Lucida Sans Unicode"/>
          <w:bCs/>
        </w:rPr>
        <w:t>4.</w:t>
      </w:r>
      <w:r w:rsidRPr="00914D30">
        <w:rPr>
          <w:rFonts w:ascii="Lucida Sans Unicode" w:hAnsi="Lucida Sans Unicode" w:cs="Lucida Sans Unicode"/>
          <w:bCs/>
        </w:rPr>
        <w:tab/>
        <w:t xml:space="preserve">País de residencia. </w:t>
      </w:r>
    </w:p>
    <w:p w14:paraId="1CE9891E" w14:textId="77777777" w:rsidR="00914D30" w:rsidRPr="00914D30" w:rsidRDefault="00914D30" w:rsidP="008D26EF">
      <w:pPr>
        <w:tabs>
          <w:tab w:val="left" w:pos="567"/>
          <w:tab w:val="left" w:pos="851"/>
          <w:tab w:val="left" w:pos="1134"/>
        </w:tabs>
        <w:ind w:left="567"/>
        <w:jc w:val="both"/>
        <w:rPr>
          <w:rFonts w:ascii="Lucida Sans Unicode" w:hAnsi="Lucida Sans Unicode" w:cs="Lucida Sans Unicode"/>
          <w:bCs/>
        </w:rPr>
      </w:pPr>
      <w:r w:rsidRPr="00914D30">
        <w:rPr>
          <w:rFonts w:ascii="Lucida Sans Unicode" w:hAnsi="Lucida Sans Unicode" w:cs="Lucida Sans Unicode"/>
          <w:bCs/>
        </w:rPr>
        <w:t>5.</w:t>
      </w:r>
      <w:r w:rsidRPr="00914D30">
        <w:rPr>
          <w:rFonts w:ascii="Lucida Sans Unicode" w:hAnsi="Lucida Sans Unicode" w:cs="Lucida Sans Unicode"/>
          <w:bCs/>
        </w:rPr>
        <w:tab/>
        <w:t>Domicilio en Chile o en el país de origen o residencia permanente.</w:t>
      </w:r>
    </w:p>
    <w:p w14:paraId="463DF593" w14:textId="77777777" w:rsidR="00914D30" w:rsidRPr="00914D30" w:rsidRDefault="00914D30" w:rsidP="008D26EF">
      <w:pPr>
        <w:tabs>
          <w:tab w:val="left" w:pos="567"/>
          <w:tab w:val="left" w:pos="851"/>
          <w:tab w:val="left" w:pos="1134"/>
        </w:tabs>
        <w:ind w:left="567"/>
        <w:jc w:val="both"/>
        <w:rPr>
          <w:rFonts w:ascii="Lucida Sans Unicode" w:hAnsi="Lucida Sans Unicode" w:cs="Lucida Sans Unicode"/>
          <w:bCs/>
        </w:rPr>
      </w:pPr>
      <w:r w:rsidRPr="00914D30">
        <w:rPr>
          <w:rFonts w:ascii="Lucida Sans Unicode" w:hAnsi="Lucida Sans Unicode" w:cs="Lucida Sans Unicode"/>
          <w:bCs/>
        </w:rPr>
        <w:t>6.</w:t>
      </w:r>
      <w:r w:rsidRPr="00914D30">
        <w:rPr>
          <w:rFonts w:ascii="Lucida Sans Unicode" w:hAnsi="Lucida Sans Unicode" w:cs="Lucida Sans Unicode"/>
          <w:bCs/>
        </w:rPr>
        <w:tab/>
        <w:t>Correo electrónico o teléfono de contacto.</w:t>
      </w:r>
    </w:p>
    <w:p w14:paraId="57887353" w14:textId="77777777" w:rsidR="00914D30" w:rsidRDefault="00914D30" w:rsidP="008D26EF">
      <w:pPr>
        <w:tabs>
          <w:tab w:val="left" w:pos="567"/>
          <w:tab w:val="left" w:pos="851"/>
          <w:tab w:val="left" w:pos="1134"/>
        </w:tabs>
        <w:ind w:left="567"/>
        <w:jc w:val="both"/>
        <w:rPr>
          <w:rFonts w:ascii="Segoe UI" w:hAnsi="Segoe UI" w:cs="Segoe UI"/>
          <w:sz w:val="18"/>
          <w:szCs w:val="18"/>
        </w:rPr>
      </w:pPr>
      <w:r w:rsidRPr="00914D30">
        <w:rPr>
          <w:rFonts w:ascii="Lucida Sans Unicode" w:hAnsi="Lucida Sans Unicode" w:cs="Lucida Sans Unicode"/>
          <w:bCs/>
        </w:rPr>
        <w:t>7.</w:t>
      </w:r>
      <w:r w:rsidRPr="00914D30">
        <w:rPr>
          <w:rFonts w:ascii="Lucida Sans Unicode" w:hAnsi="Lucida Sans Unicode" w:cs="Lucida Sans Unicode"/>
          <w:bCs/>
        </w:rPr>
        <w:tab/>
        <w:t>Profesión, ocupación u oficio en términos precisos, indicando el cargo que desempeña y rubro del negocio.</w:t>
      </w:r>
      <w:r w:rsidRPr="00914D30">
        <w:rPr>
          <w:rFonts w:ascii="Segoe UI" w:hAnsi="Segoe UI" w:cs="Segoe UI"/>
          <w:sz w:val="18"/>
          <w:szCs w:val="18"/>
        </w:rPr>
        <w:t xml:space="preserve"> </w:t>
      </w:r>
    </w:p>
    <w:p w14:paraId="645EB337" w14:textId="4F72D656" w:rsidR="00914D30" w:rsidRDefault="00914D30" w:rsidP="00914D30">
      <w:pPr>
        <w:tabs>
          <w:tab w:val="left" w:pos="567"/>
          <w:tab w:val="left" w:pos="851"/>
          <w:tab w:val="left" w:pos="1134"/>
        </w:tabs>
        <w:jc w:val="both"/>
        <w:rPr>
          <w:rFonts w:ascii="Lucida Sans Unicode" w:hAnsi="Lucida Sans Unicode" w:cs="Lucida Sans Unicode"/>
          <w:bCs/>
        </w:rPr>
      </w:pPr>
      <w:r w:rsidRPr="00B44713">
        <w:rPr>
          <w:rFonts w:ascii="Lucida Sans Unicode" w:hAnsi="Lucida Sans Unicode" w:cs="Lucida Sans Unicode"/>
          <w:b/>
        </w:rPr>
        <w:t>Comentario:</w:t>
      </w:r>
      <w:r w:rsidRPr="00B44713">
        <w:rPr>
          <w:rFonts w:ascii="Lucida Sans Unicode" w:hAnsi="Lucida Sans Unicode" w:cs="Lucida Sans Unicode"/>
          <w:bCs/>
        </w:rPr>
        <w:t xml:space="preserve"> </w:t>
      </w:r>
      <w:r w:rsidR="002E2F1E" w:rsidRPr="00914D30">
        <w:rPr>
          <w:rFonts w:ascii="Lucida Sans Unicode" w:hAnsi="Lucida Sans Unicode" w:cs="Lucida Sans Unicode"/>
          <w:bCs/>
        </w:rPr>
        <w:t>Los requerimientos de la ficha de cliente muestran una inexperiencia de la forma de funcionamiento de la industria de casinos de juego. Se extrapola el requerimiento que se aplica en las instituciones bancarias, donde el cliente realiza otro tipo de transacciones (créditos, instrumentos de inversión, etc.). Por tanto, se solicita eliminar la descripción de profesión, ocupación u oficio en términos precisos. Por ejemplo, alguien que declara ser funcionario público, ¿se le deberá exigir que explicite el cargo que tiene?</w:t>
      </w:r>
      <w:r w:rsidR="002E2F1E">
        <w:rPr>
          <w:rFonts w:ascii="Lucida Sans Unicode" w:hAnsi="Lucida Sans Unicode" w:cs="Lucida Sans Unicode"/>
          <w:bCs/>
        </w:rPr>
        <w:t xml:space="preserve"> Adicionalmente, es indispensable entender que l</w:t>
      </w:r>
      <w:r w:rsidRPr="00914D30">
        <w:rPr>
          <w:rFonts w:ascii="Lucida Sans Unicode" w:hAnsi="Lucida Sans Unicode" w:cs="Lucida Sans Unicode"/>
          <w:bCs/>
        </w:rPr>
        <w:t xml:space="preserve">os clientes no tienen una condición contractual con los casinos, por lo que no podemos obligarlos a entregar información. </w:t>
      </w:r>
      <w:r w:rsidR="000804FD" w:rsidRPr="00914D30">
        <w:rPr>
          <w:rFonts w:ascii="Lucida Sans Unicode" w:hAnsi="Lucida Sans Unicode" w:cs="Lucida Sans Unicode"/>
          <w:bCs/>
        </w:rPr>
        <w:t>¿</w:t>
      </w:r>
      <w:r w:rsidR="00EC51AD" w:rsidRPr="00914D30">
        <w:rPr>
          <w:rFonts w:ascii="Lucida Sans Unicode" w:hAnsi="Lucida Sans Unicode" w:cs="Lucida Sans Unicode"/>
          <w:bCs/>
        </w:rPr>
        <w:t>Qué</w:t>
      </w:r>
      <w:r w:rsidR="000804FD" w:rsidRPr="00914D30">
        <w:rPr>
          <w:rFonts w:ascii="Lucida Sans Unicode" w:hAnsi="Lucida Sans Unicode" w:cs="Lucida Sans Unicode"/>
          <w:bCs/>
        </w:rPr>
        <w:t xml:space="preserve"> pasa cuando estos datos no quieran ser entregados?</w:t>
      </w:r>
      <w:r w:rsidRPr="00914D30">
        <w:rPr>
          <w:rFonts w:ascii="Lucida Sans Unicode" w:hAnsi="Lucida Sans Unicode" w:cs="Lucida Sans Unicode"/>
          <w:bCs/>
        </w:rPr>
        <w:t xml:space="preserve"> </w:t>
      </w:r>
      <w:r w:rsidR="000804FD" w:rsidRPr="00914D30">
        <w:rPr>
          <w:rFonts w:ascii="Lucida Sans Unicode" w:hAnsi="Lucida Sans Unicode" w:cs="Lucida Sans Unicode"/>
          <w:bCs/>
        </w:rPr>
        <w:t>¿Generan ROS por falta de transparencia?</w:t>
      </w:r>
    </w:p>
    <w:p w14:paraId="7562FC09" w14:textId="0F4785BD" w:rsidR="00914D30" w:rsidRPr="00914D30" w:rsidRDefault="008D26EF" w:rsidP="00914D30">
      <w:pPr>
        <w:tabs>
          <w:tab w:val="left" w:pos="567"/>
          <w:tab w:val="left" w:pos="851"/>
          <w:tab w:val="left" w:pos="1134"/>
        </w:tabs>
        <w:jc w:val="both"/>
        <w:rPr>
          <w:rFonts w:ascii="Lucida Sans Unicode" w:hAnsi="Lucida Sans Unicode" w:cs="Lucida Sans Unicode"/>
          <w:bCs/>
        </w:rPr>
      </w:pPr>
      <w:r>
        <w:rPr>
          <w:rFonts w:ascii="Lucida Sans Unicode" w:hAnsi="Lucida Sans Unicode" w:cs="Lucida Sans Unicode"/>
          <w:b/>
        </w:rPr>
        <w:t>7</w:t>
      </w:r>
      <w:r w:rsidR="00CD2052" w:rsidRPr="006518C8">
        <w:rPr>
          <w:rFonts w:ascii="Lucida Sans Unicode" w:hAnsi="Lucida Sans Unicode" w:cs="Lucida Sans Unicode"/>
          <w:b/>
        </w:rPr>
        <w:t>. Definición de “relación comercial permanente” y “transacciones vinculadas” (puntos f.4.1 y f.4.2)</w:t>
      </w:r>
      <w:r w:rsidR="00CD2052" w:rsidRPr="006518C8" w:rsidDel="00CD2052">
        <w:rPr>
          <w:rFonts w:ascii="Lucida Sans Unicode" w:hAnsi="Lucida Sans Unicode" w:cs="Lucida Sans Unicode"/>
          <w:b/>
        </w:rPr>
        <w:t xml:space="preserve"> </w:t>
      </w:r>
      <w:r w:rsidR="00914D30" w:rsidRPr="00914D30">
        <w:rPr>
          <w:rFonts w:ascii="Lucida Sans Unicode" w:hAnsi="Lucida Sans Unicode" w:cs="Lucida Sans Unicode"/>
          <w:bCs/>
        </w:rPr>
        <w:t>f.4)</w:t>
      </w:r>
      <w:r w:rsidR="00914D30" w:rsidRPr="00914D30">
        <w:rPr>
          <w:rFonts w:ascii="Lucida Sans Unicode" w:hAnsi="Lucida Sans Unicode" w:cs="Lucida Sans Unicode"/>
          <w:bCs/>
        </w:rPr>
        <w:tab/>
        <w:t>La información antes señalada se deberá solicitar en los siguientes casos:</w:t>
      </w:r>
    </w:p>
    <w:p w14:paraId="716BCE04" w14:textId="77777777" w:rsidR="00914D30" w:rsidRDefault="00914D30" w:rsidP="00914D30">
      <w:pPr>
        <w:tabs>
          <w:tab w:val="left" w:pos="567"/>
          <w:tab w:val="left" w:pos="851"/>
          <w:tab w:val="left" w:pos="1134"/>
        </w:tabs>
        <w:jc w:val="both"/>
        <w:rPr>
          <w:rFonts w:ascii="Lucida Sans Unicode" w:hAnsi="Lucida Sans Unicode" w:cs="Lucida Sans Unicode"/>
          <w:bCs/>
        </w:rPr>
      </w:pPr>
      <w:r w:rsidRPr="00914D30">
        <w:rPr>
          <w:rFonts w:ascii="Lucida Sans Unicode" w:hAnsi="Lucida Sans Unicode" w:cs="Lucida Sans Unicode"/>
          <w:bCs/>
        </w:rPr>
        <w:t>1.</w:t>
      </w:r>
      <w:r w:rsidRPr="00914D30">
        <w:rPr>
          <w:rFonts w:ascii="Lucida Sans Unicode" w:hAnsi="Lucida Sans Unicode" w:cs="Lucida Sans Unicode"/>
          <w:bCs/>
        </w:rPr>
        <w:tab/>
        <w:t xml:space="preserve">Antes o durante el establecimiento de una relación comercial o contractual de carácter permanente con el cliente. </w:t>
      </w:r>
    </w:p>
    <w:p w14:paraId="2A0B74FA" w14:textId="66D45A3E" w:rsidR="00914D30" w:rsidRPr="00914D30" w:rsidRDefault="00914D30" w:rsidP="00914D30">
      <w:pPr>
        <w:tabs>
          <w:tab w:val="left" w:pos="567"/>
          <w:tab w:val="left" w:pos="851"/>
          <w:tab w:val="left" w:pos="1134"/>
        </w:tabs>
        <w:jc w:val="both"/>
        <w:rPr>
          <w:rFonts w:ascii="Lucida Sans Unicode" w:hAnsi="Lucida Sans Unicode" w:cs="Lucida Sans Unicode"/>
          <w:bCs/>
        </w:rPr>
      </w:pPr>
      <w:r w:rsidRPr="006518C8">
        <w:rPr>
          <w:rFonts w:ascii="Lucida Sans Unicode" w:hAnsi="Lucida Sans Unicode" w:cs="Lucida Sans Unicode"/>
          <w:b/>
        </w:rPr>
        <w:t>Comentario:</w:t>
      </w:r>
      <w:r>
        <w:rPr>
          <w:rFonts w:ascii="Lucida Sans Unicode" w:hAnsi="Lucida Sans Unicode" w:cs="Lucida Sans Unicode"/>
          <w:bCs/>
        </w:rPr>
        <w:t xml:space="preserve"> </w:t>
      </w:r>
      <w:r w:rsidR="000804FD">
        <w:rPr>
          <w:rFonts w:ascii="Lucida Sans Unicode" w:hAnsi="Lucida Sans Unicode" w:cs="Lucida Sans Unicode"/>
          <w:bCs/>
        </w:rPr>
        <w:t>En los casinos n</w:t>
      </w:r>
      <w:r w:rsidRPr="00914D30">
        <w:rPr>
          <w:rFonts w:ascii="Lucida Sans Unicode" w:hAnsi="Lucida Sans Unicode" w:cs="Lucida Sans Unicode"/>
          <w:bCs/>
        </w:rPr>
        <w:t>o existe una relación comercial de carácter permanente con los clientes. No hay relación contractual con los clientes, es una relación comercial voluntaria y ocasional.</w:t>
      </w:r>
    </w:p>
    <w:p w14:paraId="4FCB6D42" w14:textId="77777777" w:rsidR="00914D30" w:rsidRDefault="00914D30" w:rsidP="00914D30">
      <w:pPr>
        <w:tabs>
          <w:tab w:val="left" w:pos="567"/>
          <w:tab w:val="left" w:pos="851"/>
          <w:tab w:val="left" w:pos="1134"/>
        </w:tabs>
        <w:jc w:val="both"/>
        <w:rPr>
          <w:rFonts w:ascii="Lucida Sans Unicode" w:hAnsi="Lucida Sans Unicode" w:cs="Lucida Sans Unicode"/>
          <w:bCs/>
        </w:rPr>
      </w:pPr>
      <w:r w:rsidRPr="00914D30">
        <w:rPr>
          <w:rFonts w:ascii="Lucida Sans Unicode" w:hAnsi="Lucida Sans Unicode" w:cs="Lucida Sans Unicode"/>
          <w:bCs/>
        </w:rPr>
        <w:lastRenderedPageBreak/>
        <w:t>2.</w:t>
      </w:r>
      <w:r w:rsidRPr="00914D30">
        <w:rPr>
          <w:rFonts w:ascii="Lucida Sans Unicode" w:hAnsi="Lucida Sans Unicode" w:cs="Lucida Sans Unicode"/>
          <w:bCs/>
        </w:rPr>
        <w:tab/>
        <w:t xml:space="preserve">Cuando se realice una o más transacciones ocasionales con un cliente con quien no se tenga una relación comercial o contractual de carácter permanente, y esta sea por un monto igual o superior a los USD 3.000, considerando que la transacción se lleve a cabo en una única operación o en varias operaciones que parezcan estar vinculadas. </w:t>
      </w:r>
    </w:p>
    <w:p w14:paraId="3412467C" w14:textId="2195CB03" w:rsidR="00914D30" w:rsidRDefault="000804FD" w:rsidP="00914D30">
      <w:pPr>
        <w:tabs>
          <w:tab w:val="left" w:pos="567"/>
          <w:tab w:val="left" w:pos="851"/>
          <w:tab w:val="left" w:pos="1134"/>
        </w:tabs>
        <w:jc w:val="both"/>
        <w:rPr>
          <w:rFonts w:ascii="Lucida Sans Unicode" w:hAnsi="Lucida Sans Unicode" w:cs="Lucida Sans Unicode"/>
          <w:bCs/>
        </w:rPr>
      </w:pPr>
      <w:r w:rsidRPr="006518C8">
        <w:rPr>
          <w:rFonts w:ascii="Lucida Sans Unicode" w:hAnsi="Lucida Sans Unicode" w:cs="Lucida Sans Unicode"/>
          <w:b/>
        </w:rPr>
        <w:t>Comentario</w:t>
      </w:r>
      <w:r w:rsidR="00914D30" w:rsidRPr="006518C8">
        <w:rPr>
          <w:rFonts w:ascii="Lucida Sans Unicode" w:hAnsi="Lucida Sans Unicode" w:cs="Lucida Sans Unicode"/>
          <w:b/>
        </w:rPr>
        <w:t>:</w:t>
      </w:r>
      <w:r w:rsidR="00914D30">
        <w:rPr>
          <w:rFonts w:ascii="Lucida Sans Unicode" w:hAnsi="Lucida Sans Unicode" w:cs="Lucida Sans Unicode"/>
          <w:bCs/>
        </w:rPr>
        <w:t xml:space="preserve"> </w:t>
      </w:r>
      <w:r w:rsidR="000C53CF" w:rsidRPr="000C53CF">
        <w:rPr>
          <w:rFonts w:ascii="Lucida Sans Unicode" w:hAnsi="Lucida Sans Unicode" w:cs="Lucida Sans Unicode"/>
          <w:bCs/>
        </w:rPr>
        <w:t>No existe en la industria de casinos una relación contractual o comercial permanente con los clientes. Toda interacción es de carácter voluntario y ocasional. Asimismo, se solicita aclarar qué se entiende por “transacciones vinculadas” en el contexto del casino: ¿corresponden a operaciones en una misma jornada, en un mismo tipo de juego, o acumulación de fichas/compras en diferentes momentos? Dado que el ingreso al casino no puede ser condicionado salvo en casos expresamente establecidos en el compendio (CI vencido, autoexclusión, etc.), no es posible denegar el acceso por negativa del cliente a entregar datos adicionales</w:t>
      </w:r>
      <w:r>
        <w:rPr>
          <w:rFonts w:ascii="Lucida Sans Unicode" w:hAnsi="Lucida Sans Unicode" w:cs="Lucida Sans Unicode"/>
          <w:bCs/>
        </w:rPr>
        <w:t xml:space="preserve">. </w:t>
      </w:r>
    </w:p>
    <w:p w14:paraId="64B4FCCB" w14:textId="77777777" w:rsidR="00914D30" w:rsidRPr="00914D30" w:rsidRDefault="00914D30" w:rsidP="00914D30">
      <w:pPr>
        <w:tabs>
          <w:tab w:val="left" w:pos="567"/>
          <w:tab w:val="left" w:pos="851"/>
          <w:tab w:val="left" w:pos="1134"/>
        </w:tabs>
        <w:jc w:val="both"/>
        <w:rPr>
          <w:rFonts w:ascii="Lucida Sans Unicode" w:hAnsi="Lucida Sans Unicode" w:cs="Lucida Sans Unicode"/>
          <w:bCs/>
        </w:rPr>
      </w:pPr>
    </w:p>
    <w:p w14:paraId="0CAC76C0" w14:textId="16D9AF87" w:rsidR="00914D30" w:rsidRPr="00914D30" w:rsidRDefault="008D26EF" w:rsidP="00914D30">
      <w:pPr>
        <w:tabs>
          <w:tab w:val="left" w:pos="567"/>
          <w:tab w:val="left" w:pos="851"/>
          <w:tab w:val="left" w:pos="1134"/>
        </w:tabs>
        <w:jc w:val="both"/>
        <w:rPr>
          <w:rFonts w:ascii="Lucida Sans Unicode" w:hAnsi="Lucida Sans Unicode" w:cs="Lucida Sans Unicode"/>
          <w:bCs/>
        </w:rPr>
      </w:pPr>
      <w:r>
        <w:rPr>
          <w:rFonts w:ascii="Lucida Sans Unicode" w:hAnsi="Lucida Sans Unicode" w:cs="Lucida Sans Unicode"/>
          <w:b/>
        </w:rPr>
        <w:t>8</w:t>
      </w:r>
      <w:r w:rsidR="00F36612" w:rsidRPr="006518C8">
        <w:rPr>
          <w:rFonts w:ascii="Lucida Sans Unicode" w:hAnsi="Lucida Sans Unicode" w:cs="Lucida Sans Unicode"/>
          <w:b/>
        </w:rPr>
        <w:t>. Solicitud de información sobre origen de fondos y patrimonio (punto f.10.1)</w:t>
      </w:r>
      <w:r w:rsidR="00F36612" w:rsidRPr="006518C8" w:rsidDel="00F36612">
        <w:rPr>
          <w:rFonts w:ascii="Lucida Sans Unicode" w:hAnsi="Lucida Sans Unicode" w:cs="Lucida Sans Unicode"/>
          <w:b/>
        </w:rPr>
        <w:t xml:space="preserve"> </w:t>
      </w:r>
      <w:r w:rsidR="00914D30" w:rsidRPr="00914D30">
        <w:rPr>
          <w:rFonts w:ascii="Lucida Sans Unicode" w:hAnsi="Lucida Sans Unicode" w:cs="Lucida Sans Unicode"/>
          <w:bCs/>
        </w:rPr>
        <w:t>f.10)</w:t>
      </w:r>
      <w:r w:rsidR="00914D30" w:rsidRPr="00914D30">
        <w:rPr>
          <w:rFonts w:ascii="Lucida Sans Unicode" w:hAnsi="Lucida Sans Unicode" w:cs="Lucida Sans Unicode"/>
          <w:bCs/>
        </w:rPr>
        <w:tab/>
        <w:t>Son medidas reforzadas de DDC, las siguientes:</w:t>
      </w:r>
    </w:p>
    <w:p w14:paraId="0F5C9B59" w14:textId="522BE02D" w:rsidR="00914D30" w:rsidRDefault="00914D30" w:rsidP="00914D30">
      <w:pPr>
        <w:pStyle w:val="Prrafodelista"/>
        <w:numPr>
          <w:ilvl w:val="0"/>
          <w:numId w:val="1"/>
        </w:numPr>
        <w:tabs>
          <w:tab w:val="left" w:pos="567"/>
          <w:tab w:val="left" w:pos="851"/>
          <w:tab w:val="left" w:pos="1134"/>
        </w:tabs>
        <w:jc w:val="both"/>
        <w:rPr>
          <w:rFonts w:ascii="Lucida Sans Unicode" w:hAnsi="Lucida Sans Unicode" w:cs="Lucida Sans Unicode"/>
          <w:bCs/>
        </w:rPr>
      </w:pPr>
      <w:r w:rsidRPr="00914D30">
        <w:rPr>
          <w:rFonts w:ascii="Lucida Sans Unicode" w:hAnsi="Lucida Sans Unicode" w:cs="Lucida Sans Unicode"/>
          <w:bCs/>
        </w:rPr>
        <w:t>Obtención de información sobre el origen de los fondos y patrimonio del cliente.</w:t>
      </w:r>
    </w:p>
    <w:p w14:paraId="719D385E" w14:textId="77777777" w:rsidR="00B44713" w:rsidRDefault="00914D30" w:rsidP="00914D30">
      <w:pPr>
        <w:tabs>
          <w:tab w:val="left" w:pos="567"/>
          <w:tab w:val="left" w:pos="851"/>
          <w:tab w:val="left" w:pos="1134"/>
        </w:tabs>
        <w:jc w:val="both"/>
        <w:rPr>
          <w:rFonts w:ascii="Lucida Sans Unicode" w:hAnsi="Lucida Sans Unicode" w:cs="Lucida Sans Unicode"/>
          <w:bCs/>
        </w:rPr>
      </w:pPr>
      <w:r w:rsidRPr="006518C8">
        <w:rPr>
          <w:rFonts w:ascii="Lucida Sans Unicode" w:hAnsi="Lucida Sans Unicode" w:cs="Lucida Sans Unicode"/>
          <w:b/>
        </w:rPr>
        <w:t>Comentario:</w:t>
      </w:r>
      <w:r>
        <w:rPr>
          <w:rFonts w:ascii="Lucida Sans Unicode" w:hAnsi="Lucida Sans Unicode" w:cs="Lucida Sans Unicode"/>
          <w:bCs/>
        </w:rPr>
        <w:t xml:space="preserve"> </w:t>
      </w:r>
      <w:r w:rsidR="00F36612">
        <w:rPr>
          <w:rFonts w:ascii="Lucida Sans Unicode" w:hAnsi="Lucida Sans Unicode" w:cs="Lucida Sans Unicode"/>
          <w:bCs/>
        </w:rPr>
        <w:t>S</w:t>
      </w:r>
      <w:r w:rsidR="00F36612" w:rsidRPr="00F36612">
        <w:rPr>
          <w:rFonts w:ascii="Lucida Sans Unicode" w:hAnsi="Lucida Sans Unicode" w:cs="Lucida Sans Unicode"/>
          <w:bCs/>
        </w:rPr>
        <w:t>olicitar a los clientes antecedentes sobre su patrimonio y origen de fondos sin una relación contractual resulta impracticable y vulnera derechos de privacidad. Esta información no es pública, suele requerir pago para su acceso parcial, y está protegida como dato sensible. Se solicita clarificar si la autoridad espera que esta información sea solicitada directamente al cliente, y en caso de negativa, si esto debe generar un ROS. Además, ¿la operadora puede adquirir esta información a través de fuentes pagadas o se espera que sea de acceso voluntario y directo?</w:t>
      </w:r>
      <w:r w:rsidR="00F36612" w:rsidRPr="00F36612" w:rsidDel="00F36612">
        <w:rPr>
          <w:rFonts w:ascii="Lucida Sans Unicode" w:hAnsi="Lucida Sans Unicode" w:cs="Lucida Sans Unicode"/>
          <w:bCs/>
        </w:rPr>
        <w:t xml:space="preserve"> </w:t>
      </w:r>
    </w:p>
    <w:p w14:paraId="65323FC2" w14:textId="246089D4" w:rsidR="00914D30" w:rsidRDefault="00D61703" w:rsidP="00914D30">
      <w:pPr>
        <w:tabs>
          <w:tab w:val="left" w:pos="567"/>
          <w:tab w:val="left" w:pos="851"/>
          <w:tab w:val="left" w:pos="1134"/>
        </w:tabs>
        <w:jc w:val="both"/>
        <w:rPr>
          <w:rFonts w:ascii="Lucida Sans Unicode" w:hAnsi="Lucida Sans Unicode" w:cs="Lucida Sans Unicode"/>
          <w:bCs/>
        </w:rPr>
      </w:pPr>
      <w:r w:rsidRPr="00D61703">
        <w:rPr>
          <w:rFonts w:ascii="Lucida Sans Unicode" w:hAnsi="Lucida Sans Unicode" w:cs="Lucida Sans Unicode"/>
          <w:b/>
        </w:rPr>
        <w:lastRenderedPageBreak/>
        <w:t>9</w:t>
      </w:r>
      <w:r w:rsidR="006C50FC" w:rsidRPr="00D61703">
        <w:rPr>
          <w:rFonts w:ascii="Lucida Sans Unicode" w:hAnsi="Lucida Sans Unicode" w:cs="Lucida Sans Unicode"/>
          <w:b/>
        </w:rPr>
        <w:t>. Restricción de</w:t>
      </w:r>
      <w:r w:rsidR="006C50FC" w:rsidRPr="006518C8">
        <w:rPr>
          <w:rFonts w:ascii="Lucida Sans Unicode" w:hAnsi="Lucida Sans Unicode" w:cs="Lucida Sans Unicode"/>
          <w:b/>
        </w:rPr>
        <w:t xml:space="preserve"> uso de tarjetas innominadas (punto f.14)</w:t>
      </w:r>
      <w:r w:rsidR="006C50FC" w:rsidRPr="006518C8" w:rsidDel="006C50FC">
        <w:rPr>
          <w:rFonts w:ascii="Lucida Sans Unicode" w:hAnsi="Lucida Sans Unicode" w:cs="Lucida Sans Unicode"/>
          <w:b/>
        </w:rPr>
        <w:t xml:space="preserve"> </w:t>
      </w:r>
      <w:r w:rsidR="00914D30" w:rsidRPr="00914D30">
        <w:rPr>
          <w:rFonts w:ascii="Lucida Sans Unicode" w:hAnsi="Lucida Sans Unicode" w:cs="Lucida Sans Unicode"/>
          <w:bCs/>
        </w:rPr>
        <w:t>f.14) La SCJ podrá prohibir o restringir el uso de tarjetas blancas o innominadas sobre determinado monto, sea que dicho monto se alcance en una o varias jugadas o usos. Dicha medida podrá aplicarse respecto de todas las operadoras o respecto de una o varias operadoras, de conformidad con las directrices que establezca mediante instrucción.</w:t>
      </w:r>
    </w:p>
    <w:p w14:paraId="76A9E4EA" w14:textId="51F9A4AC" w:rsidR="00914D30" w:rsidRDefault="00914D30" w:rsidP="00675F7D">
      <w:pPr>
        <w:tabs>
          <w:tab w:val="left" w:pos="567"/>
          <w:tab w:val="left" w:pos="851"/>
          <w:tab w:val="left" w:pos="1134"/>
        </w:tabs>
        <w:jc w:val="both"/>
        <w:rPr>
          <w:rFonts w:ascii="Lucida Sans Unicode" w:hAnsi="Lucida Sans Unicode" w:cs="Lucida Sans Unicode"/>
          <w:bCs/>
        </w:rPr>
      </w:pPr>
      <w:r w:rsidRPr="006518C8">
        <w:rPr>
          <w:rFonts w:ascii="Lucida Sans Unicode" w:hAnsi="Lucida Sans Unicode" w:cs="Lucida Sans Unicode"/>
          <w:b/>
        </w:rPr>
        <w:t>Comentario:</w:t>
      </w:r>
      <w:r>
        <w:rPr>
          <w:rFonts w:ascii="Lucida Sans Unicode" w:hAnsi="Lucida Sans Unicode" w:cs="Lucida Sans Unicode"/>
          <w:bCs/>
        </w:rPr>
        <w:t xml:space="preserve"> </w:t>
      </w:r>
      <w:r w:rsidR="00675F7D" w:rsidRPr="00675F7D">
        <w:rPr>
          <w:rFonts w:ascii="Lucida Sans Unicode" w:hAnsi="Lucida Sans Unicode" w:cs="Lucida Sans Unicode"/>
          <w:bCs/>
        </w:rPr>
        <w:t>Se solicita definir con claridad el concepto de “tarjetas blancas o innominadas”, indicando sus características y diferenciación con tarjetas asociadas a programas de fidelización. Es importante considerar que, aun tratándose de tarjetas no nominativas, el casino registra su entrega y uso, por lo que existe trazabilidad del cliente. Establecer topes de uso de estas tarjetas podría limitar el funcionamiento del casino sin generar valor agregado en la prevención de delitos financieros. Se sugiere eliminar este punto o ajustarlo con mayor precisión, para no afectar la operación legítima ni la experiencia del cliente.</w:t>
      </w:r>
      <w:r w:rsidR="007B163C">
        <w:rPr>
          <w:rFonts w:ascii="Lucida Sans Unicode" w:hAnsi="Lucida Sans Unicode" w:cs="Lucida Sans Unicode"/>
          <w:bCs/>
        </w:rPr>
        <w:t xml:space="preserve"> Por otra </w:t>
      </w:r>
      <w:r w:rsidR="00675F7D">
        <w:rPr>
          <w:rFonts w:ascii="Lucida Sans Unicode" w:hAnsi="Lucida Sans Unicode" w:cs="Lucida Sans Unicode"/>
          <w:bCs/>
        </w:rPr>
        <w:t>parte,</w:t>
      </w:r>
      <w:r w:rsidR="007B163C">
        <w:rPr>
          <w:rFonts w:ascii="Lucida Sans Unicode" w:hAnsi="Lucida Sans Unicode" w:cs="Lucida Sans Unicode"/>
          <w:bCs/>
        </w:rPr>
        <w:t xml:space="preserve"> si se refieren a tarjetas que no sean nominativas, por no ser socios del club de fidelización, no podemos obligar a los clientes a que sean socios, es por esto que existen este tipo de tarjetas.</w:t>
      </w:r>
    </w:p>
    <w:p w14:paraId="5A712FD4" w14:textId="58188BB0" w:rsidR="00914D30" w:rsidRDefault="00D61703" w:rsidP="00914D30">
      <w:pPr>
        <w:tabs>
          <w:tab w:val="left" w:pos="567"/>
          <w:tab w:val="left" w:pos="851"/>
          <w:tab w:val="left" w:pos="1134"/>
        </w:tabs>
        <w:jc w:val="both"/>
        <w:rPr>
          <w:rFonts w:ascii="Lucida Sans Unicode" w:hAnsi="Lucida Sans Unicode" w:cs="Lucida Sans Unicode"/>
          <w:bCs/>
        </w:rPr>
      </w:pPr>
      <w:r>
        <w:rPr>
          <w:rFonts w:ascii="Lucida Sans Unicode" w:hAnsi="Lucida Sans Unicode" w:cs="Lucida Sans Unicode"/>
          <w:b/>
        </w:rPr>
        <w:t>10</w:t>
      </w:r>
      <w:r w:rsidR="00314C13" w:rsidRPr="00B44713">
        <w:rPr>
          <w:rFonts w:ascii="Lucida Sans Unicode" w:hAnsi="Lucida Sans Unicode" w:cs="Lucida Sans Unicode"/>
          <w:b/>
        </w:rPr>
        <w:t>. Error de referencia normativa (CUARTO)</w:t>
      </w:r>
      <w:r w:rsidR="00914D30" w:rsidRPr="00B44713">
        <w:rPr>
          <w:rFonts w:ascii="Lucida Sans Unicode" w:hAnsi="Lucida Sans Unicode" w:cs="Lucida Sans Unicode"/>
          <w:bCs/>
        </w:rPr>
        <w:t>: Esta circular prevalecerá</w:t>
      </w:r>
      <w:r w:rsidR="00914D30" w:rsidRPr="00914D30">
        <w:rPr>
          <w:rFonts w:ascii="Lucida Sans Unicode" w:hAnsi="Lucida Sans Unicode" w:cs="Lucida Sans Unicode"/>
          <w:bCs/>
        </w:rPr>
        <w:t xml:space="preserve"> respecto de la Circular N°62, de 2024, de la Unidad de Análisis Financiero.</w:t>
      </w:r>
    </w:p>
    <w:p w14:paraId="1BB6E754" w14:textId="6E9593C5" w:rsidR="00914D30" w:rsidRDefault="00914D30" w:rsidP="00914D30">
      <w:pPr>
        <w:tabs>
          <w:tab w:val="left" w:pos="567"/>
          <w:tab w:val="left" w:pos="851"/>
          <w:tab w:val="left" w:pos="1134"/>
        </w:tabs>
        <w:jc w:val="both"/>
        <w:rPr>
          <w:rFonts w:ascii="Lucida Sans Unicode" w:hAnsi="Lucida Sans Unicode" w:cs="Lucida Sans Unicode"/>
          <w:bCs/>
        </w:rPr>
      </w:pPr>
      <w:r w:rsidRPr="006518C8">
        <w:rPr>
          <w:rFonts w:ascii="Lucida Sans Unicode" w:hAnsi="Lucida Sans Unicode" w:cs="Lucida Sans Unicode"/>
          <w:b/>
        </w:rPr>
        <w:t>Comentario:</w:t>
      </w:r>
      <w:r>
        <w:rPr>
          <w:rFonts w:ascii="Lucida Sans Unicode" w:hAnsi="Lucida Sans Unicode" w:cs="Lucida Sans Unicode"/>
          <w:bCs/>
        </w:rPr>
        <w:t xml:space="preserve"> </w:t>
      </w:r>
      <w:r w:rsidR="00314C13" w:rsidRPr="00314C13">
        <w:rPr>
          <w:rFonts w:ascii="Lucida Sans Unicode" w:hAnsi="Lucida Sans Unicode" w:cs="Lucida Sans Unicode"/>
          <w:bCs/>
        </w:rPr>
        <w:t>Se detecta una referencia errónea a la Circular N°62 de 2024. Dado que el presente instrumento corresponde al año 2025, la circular que debe señalarse como reemplazada es la Circular N°62 de 2025</w:t>
      </w:r>
      <w:r>
        <w:rPr>
          <w:rFonts w:ascii="Lucida Sans Unicode" w:hAnsi="Lucida Sans Unicode" w:cs="Lucida Sans Unicode"/>
          <w:bCs/>
        </w:rPr>
        <w:t xml:space="preserve">. </w:t>
      </w:r>
    </w:p>
    <w:p w14:paraId="3F6ADFE0" w14:textId="3AD667A1" w:rsidR="00914D30" w:rsidRDefault="00914D30" w:rsidP="00914D30">
      <w:pPr>
        <w:tabs>
          <w:tab w:val="left" w:pos="567"/>
          <w:tab w:val="left" w:pos="851"/>
          <w:tab w:val="left" w:pos="1134"/>
        </w:tabs>
        <w:jc w:val="both"/>
        <w:rPr>
          <w:rFonts w:ascii="Lucida Sans Unicode" w:hAnsi="Lucida Sans Unicode" w:cs="Lucida Sans Unicode"/>
          <w:bCs/>
        </w:rPr>
      </w:pPr>
    </w:p>
    <w:p w14:paraId="361D69FC" w14:textId="77777777" w:rsidR="00914D30" w:rsidRDefault="00914D30" w:rsidP="00914D30">
      <w:pPr>
        <w:tabs>
          <w:tab w:val="left" w:pos="567"/>
          <w:tab w:val="left" w:pos="851"/>
          <w:tab w:val="left" w:pos="1134"/>
        </w:tabs>
        <w:jc w:val="both"/>
        <w:rPr>
          <w:rFonts w:ascii="Lucida Sans Unicode" w:hAnsi="Lucida Sans Unicode" w:cs="Lucida Sans Unicode"/>
          <w:bCs/>
        </w:rPr>
      </w:pPr>
    </w:p>
    <w:p w14:paraId="473A2519" w14:textId="77777777" w:rsidR="00914D30" w:rsidRPr="00914D30" w:rsidRDefault="00914D30" w:rsidP="00914D30">
      <w:pPr>
        <w:tabs>
          <w:tab w:val="left" w:pos="567"/>
          <w:tab w:val="left" w:pos="851"/>
          <w:tab w:val="left" w:pos="1134"/>
        </w:tabs>
        <w:jc w:val="both"/>
        <w:rPr>
          <w:rFonts w:ascii="Lucida Sans Unicode" w:hAnsi="Lucida Sans Unicode" w:cs="Lucida Sans Unicode"/>
          <w:bCs/>
        </w:rPr>
      </w:pPr>
    </w:p>
    <w:p w14:paraId="6E4D7D17" w14:textId="77777777" w:rsidR="00E12C4F" w:rsidRPr="00E12C4F" w:rsidRDefault="00E12C4F"/>
    <w:sectPr w:rsidR="00E12C4F" w:rsidRPr="00E12C4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C425F" w14:textId="77777777" w:rsidR="00426759" w:rsidRDefault="00426759" w:rsidP="00E12C4F">
      <w:pPr>
        <w:spacing w:after="0" w:line="240" w:lineRule="auto"/>
      </w:pPr>
      <w:r>
        <w:separator/>
      </w:r>
    </w:p>
  </w:endnote>
  <w:endnote w:type="continuationSeparator" w:id="0">
    <w:p w14:paraId="102BA72A" w14:textId="77777777" w:rsidR="00426759" w:rsidRDefault="00426759" w:rsidP="00E1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9C131" w14:textId="77777777" w:rsidR="00426759" w:rsidRDefault="00426759" w:rsidP="00E12C4F">
      <w:pPr>
        <w:spacing w:after="0" w:line="240" w:lineRule="auto"/>
      </w:pPr>
      <w:r>
        <w:separator/>
      </w:r>
    </w:p>
  </w:footnote>
  <w:footnote w:type="continuationSeparator" w:id="0">
    <w:p w14:paraId="55F9D549" w14:textId="77777777" w:rsidR="00426759" w:rsidRDefault="00426759" w:rsidP="00E12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E07C5"/>
    <w:multiLevelType w:val="hybridMultilevel"/>
    <w:tmpl w:val="08A28B8A"/>
    <w:lvl w:ilvl="0" w:tplc="C4D6DC60">
      <w:start w:val="1"/>
      <w:numFmt w:val="decimal"/>
      <w:lvlText w:val="%1."/>
      <w:lvlJc w:val="left"/>
      <w:pPr>
        <w:ind w:left="930" w:hanging="57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131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4F"/>
    <w:rsid w:val="00042B21"/>
    <w:rsid w:val="0007562D"/>
    <w:rsid w:val="000804FD"/>
    <w:rsid w:val="000C0EB4"/>
    <w:rsid w:val="000C53CF"/>
    <w:rsid w:val="000E001B"/>
    <w:rsid w:val="000F3DFE"/>
    <w:rsid w:val="00222B58"/>
    <w:rsid w:val="00266543"/>
    <w:rsid w:val="002A2A77"/>
    <w:rsid w:val="002E2F1E"/>
    <w:rsid w:val="00314C13"/>
    <w:rsid w:val="003179E5"/>
    <w:rsid w:val="00426759"/>
    <w:rsid w:val="0045481C"/>
    <w:rsid w:val="00456E23"/>
    <w:rsid w:val="00563FF5"/>
    <w:rsid w:val="005D0B6C"/>
    <w:rsid w:val="006164F5"/>
    <w:rsid w:val="006518C8"/>
    <w:rsid w:val="00675F7D"/>
    <w:rsid w:val="00695E0C"/>
    <w:rsid w:val="006C50FC"/>
    <w:rsid w:val="006C5FDE"/>
    <w:rsid w:val="006F27E7"/>
    <w:rsid w:val="00737762"/>
    <w:rsid w:val="00740F8F"/>
    <w:rsid w:val="007B163C"/>
    <w:rsid w:val="007C5356"/>
    <w:rsid w:val="008071DB"/>
    <w:rsid w:val="00851171"/>
    <w:rsid w:val="00856E4E"/>
    <w:rsid w:val="008B72AC"/>
    <w:rsid w:val="008D26EF"/>
    <w:rsid w:val="00914D30"/>
    <w:rsid w:val="00920A30"/>
    <w:rsid w:val="0095016D"/>
    <w:rsid w:val="00957B37"/>
    <w:rsid w:val="00980A74"/>
    <w:rsid w:val="00B44713"/>
    <w:rsid w:val="00BA12C7"/>
    <w:rsid w:val="00BB661A"/>
    <w:rsid w:val="00C44284"/>
    <w:rsid w:val="00CD2052"/>
    <w:rsid w:val="00D05B5E"/>
    <w:rsid w:val="00D61703"/>
    <w:rsid w:val="00D853D9"/>
    <w:rsid w:val="00DA5BC1"/>
    <w:rsid w:val="00DE64CF"/>
    <w:rsid w:val="00E12C4F"/>
    <w:rsid w:val="00EC51AD"/>
    <w:rsid w:val="00EC57CB"/>
    <w:rsid w:val="00F13B25"/>
    <w:rsid w:val="00F36612"/>
    <w:rsid w:val="00F466FA"/>
    <w:rsid w:val="00F46DFD"/>
    <w:rsid w:val="00F76E27"/>
    <w:rsid w:val="00FA007E"/>
    <w:rsid w:val="00FB38AA"/>
    <w:rsid w:val="00FB4996"/>
    <w:rsid w:val="00FC6A2A"/>
    <w:rsid w:val="00FE32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151F"/>
  <w15:chartTrackingRefBased/>
  <w15:docId w15:val="{843DB885-232E-4B90-8AB7-F718B92E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12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2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12C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2C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2C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2C4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2C4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2C4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2C4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2C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2C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2C4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2C4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2C4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2C4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2C4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2C4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2C4F"/>
    <w:rPr>
      <w:rFonts w:eastAsiaTheme="majorEastAsia" w:cstheme="majorBidi"/>
      <w:color w:val="272727" w:themeColor="text1" w:themeTint="D8"/>
    </w:rPr>
  </w:style>
  <w:style w:type="paragraph" w:styleId="Ttulo">
    <w:name w:val="Title"/>
    <w:basedOn w:val="Normal"/>
    <w:next w:val="Normal"/>
    <w:link w:val="TtuloCar"/>
    <w:uiPriority w:val="10"/>
    <w:qFormat/>
    <w:rsid w:val="00E12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2C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2C4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2C4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2C4F"/>
    <w:pPr>
      <w:spacing w:before="160"/>
      <w:jc w:val="center"/>
    </w:pPr>
    <w:rPr>
      <w:i/>
      <w:iCs/>
      <w:color w:val="404040" w:themeColor="text1" w:themeTint="BF"/>
    </w:rPr>
  </w:style>
  <w:style w:type="character" w:customStyle="1" w:styleId="CitaCar">
    <w:name w:val="Cita Car"/>
    <w:basedOn w:val="Fuentedeprrafopredeter"/>
    <w:link w:val="Cita"/>
    <w:uiPriority w:val="29"/>
    <w:rsid w:val="00E12C4F"/>
    <w:rPr>
      <w:i/>
      <w:iCs/>
      <w:color w:val="404040" w:themeColor="text1" w:themeTint="BF"/>
    </w:rPr>
  </w:style>
  <w:style w:type="paragraph" w:styleId="Prrafodelista">
    <w:name w:val="List Paragraph"/>
    <w:basedOn w:val="Normal"/>
    <w:uiPriority w:val="34"/>
    <w:qFormat/>
    <w:rsid w:val="00E12C4F"/>
    <w:pPr>
      <w:ind w:left="720"/>
      <w:contextualSpacing/>
    </w:pPr>
  </w:style>
  <w:style w:type="character" w:styleId="nfasisintenso">
    <w:name w:val="Intense Emphasis"/>
    <w:basedOn w:val="Fuentedeprrafopredeter"/>
    <w:uiPriority w:val="21"/>
    <w:qFormat/>
    <w:rsid w:val="00E12C4F"/>
    <w:rPr>
      <w:i/>
      <w:iCs/>
      <w:color w:val="0F4761" w:themeColor="accent1" w:themeShade="BF"/>
    </w:rPr>
  </w:style>
  <w:style w:type="paragraph" w:styleId="Citadestacada">
    <w:name w:val="Intense Quote"/>
    <w:basedOn w:val="Normal"/>
    <w:next w:val="Normal"/>
    <w:link w:val="CitadestacadaCar"/>
    <w:uiPriority w:val="30"/>
    <w:qFormat/>
    <w:rsid w:val="00E12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2C4F"/>
    <w:rPr>
      <w:i/>
      <w:iCs/>
      <w:color w:val="0F4761" w:themeColor="accent1" w:themeShade="BF"/>
    </w:rPr>
  </w:style>
  <w:style w:type="character" w:styleId="Referenciaintensa">
    <w:name w:val="Intense Reference"/>
    <w:basedOn w:val="Fuentedeprrafopredeter"/>
    <w:uiPriority w:val="32"/>
    <w:qFormat/>
    <w:rsid w:val="00E12C4F"/>
    <w:rPr>
      <w:b/>
      <w:bCs/>
      <w:smallCaps/>
      <w:color w:val="0F4761" w:themeColor="accent1" w:themeShade="BF"/>
      <w:spacing w:val="5"/>
    </w:rPr>
  </w:style>
  <w:style w:type="paragraph" w:styleId="Revisin">
    <w:name w:val="Revision"/>
    <w:hidden/>
    <w:uiPriority w:val="99"/>
    <w:semiHidden/>
    <w:rsid w:val="006C5FDE"/>
    <w:pPr>
      <w:spacing w:after="0" w:line="240" w:lineRule="auto"/>
    </w:pPr>
  </w:style>
  <w:style w:type="character" w:styleId="Refdecomentario">
    <w:name w:val="annotation reference"/>
    <w:basedOn w:val="Fuentedeprrafopredeter"/>
    <w:uiPriority w:val="99"/>
    <w:semiHidden/>
    <w:unhideWhenUsed/>
    <w:rsid w:val="006C5FDE"/>
    <w:rPr>
      <w:sz w:val="16"/>
      <w:szCs w:val="16"/>
    </w:rPr>
  </w:style>
  <w:style w:type="paragraph" w:styleId="Textocomentario">
    <w:name w:val="annotation text"/>
    <w:basedOn w:val="Normal"/>
    <w:link w:val="TextocomentarioCar"/>
    <w:uiPriority w:val="99"/>
    <w:unhideWhenUsed/>
    <w:rsid w:val="006C5FDE"/>
    <w:pPr>
      <w:spacing w:line="240" w:lineRule="auto"/>
    </w:pPr>
    <w:rPr>
      <w:sz w:val="20"/>
      <w:szCs w:val="20"/>
    </w:rPr>
  </w:style>
  <w:style w:type="character" w:customStyle="1" w:styleId="TextocomentarioCar">
    <w:name w:val="Texto comentario Car"/>
    <w:basedOn w:val="Fuentedeprrafopredeter"/>
    <w:link w:val="Textocomentario"/>
    <w:uiPriority w:val="99"/>
    <w:rsid w:val="006C5FDE"/>
    <w:rPr>
      <w:sz w:val="20"/>
      <w:szCs w:val="20"/>
    </w:rPr>
  </w:style>
  <w:style w:type="paragraph" w:styleId="Asuntodelcomentario">
    <w:name w:val="annotation subject"/>
    <w:basedOn w:val="Textocomentario"/>
    <w:next w:val="Textocomentario"/>
    <w:link w:val="AsuntodelcomentarioCar"/>
    <w:uiPriority w:val="99"/>
    <w:semiHidden/>
    <w:unhideWhenUsed/>
    <w:rsid w:val="006C5FDE"/>
    <w:rPr>
      <w:b/>
      <w:bCs/>
    </w:rPr>
  </w:style>
  <w:style w:type="character" w:customStyle="1" w:styleId="AsuntodelcomentarioCar">
    <w:name w:val="Asunto del comentario Car"/>
    <w:basedOn w:val="TextocomentarioCar"/>
    <w:link w:val="Asuntodelcomentario"/>
    <w:uiPriority w:val="99"/>
    <w:semiHidden/>
    <w:rsid w:val="006C5F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64104">
      <w:bodyDiv w:val="1"/>
      <w:marLeft w:val="0"/>
      <w:marRight w:val="0"/>
      <w:marTop w:val="0"/>
      <w:marBottom w:val="0"/>
      <w:divBdr>
        <w:top w:val="none" w:sz="0" w:space="0" w:color="auto"/>
        <w:left w:val="none" w:sz="0" w:space="0" w:color="auto"/>
        <w:bottom w:val="none" w:sz="0" w:space="0" w:color="auto"/>
        <w:right w:val="none" w:sz="0" w:space="0" w:color="auto"/>
      </w:divBdr>
    </w:div>
    <w:div w:id="1290622215">
      <w:bodyDiv w:val="1"/>
      <w:marLeft w:val="0"/>
      <w:marRight w:val="0"/>
      <w:marTop w:val="0"/>
      <w:marBottom w:val="0"/>
      <w:divBdr>
        <w:top w:val="none" w:sz="0" w:space="0" w:color="auto"/>
        <w:left w:val="none" w:sz="0" w:space="0" w:color="auto"/>
        <w:bottom w:val="none" w:sz="0" w:space="0" w:color="auto"/>
        <w:right w:val="none" w:sz="0" w:space="0" w:color="auto"/>
      </w:divBdr>
    </w:div>
    <w:div w:id="1475564606">
      <w:bodyDiv w:val="1"/>
      <w:marLeft w:val="0"/>
      <w:marRight w:val="0"/>
      <w:marTop w:val="0"/>
      <w:marBottom w:val="0"/>
      <w:divBdr>
        <w:top w:val="none" w:sz="0" w:space="0" w:color="auto"/>
        <w:left w:val="none" w:sz="0" w:space="0" w:color="auto"/>
        <w:bottom w:val="none" w:sz="0" w:space="0" w:color="auto"/>
        <w:right w:val="none" w:sz="0" w:space="0" w:color="auto"/>
      </w:divBdr>
    </w:div>
    <w:div w:id="204505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1600</Words>
  <Characters>8804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Valenzuela (Santiago)</dc:creator>
  <cp:keywords/>
  <dc:description/>
  <cp:lastModifiedBy>Mariana Valenzuela (Santiago)</cp:lastModifiedBy>
  <cp:revision>1</cp:revision>
  <dcterms:created xsi:type="dcterms:W3CDTF">2025-07-07T16:33:00Z</dcterms:created>
  <dcterms:modified xsi:type="dcterms:W3CDTF">2025-07-07T18:38:00Z</dcterms:modified>
</cp:coreProperties>
</file>